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47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Процедура кодирования олимпиадных работ.</w:t>
      </w:r>
    </w:p>
    <w:p w:rsid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4791" w:rsidRP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код олимпиадной работы (шифр) записывается на титульном листе (обложке тетради, бланке)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13">
        <w:rPr>
          <w:rFonts w:ascii="Times New Roman" w:hAnsi="Times New Roman" w:cs="Times New Roman"/>
          <w:sz w:val="28"/>
          <w:szCs w:val="28"/>
        </w:rPr>
        <w:t>олимпиадной работы и на первом (при необходимости и на других листах) рабочем листе олимпиадной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3813">
        <w:rPr>
          <w:rFonts w:ascii="Times New Roman" w:hAnsi="Times New Roman" w:cs="Times New Roman"/>
          <w:sz w:val="28"/>
          <w:szCs w:val="28"/>
        </w:rPr>
        <w:t>;</w:t>
      </w: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работ;</w:t>
      </w: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</w:p>
    <w:p w:rsidR="003341F5" w:rsidRDefault="003341F5"/>
    <w:sectPr w:rsidR="003341F5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91"/>
    <w:rsid w:val="001F4791"/>
    <w:rsid w:val="0033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7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2022-10-27T07:45:00Z</dcterms:created>
  <dcterms:modified xsi:type="dcterms:W3CDTF">2022-10-27T07:47:00Z</dcterms:modified>
</cp:coreProperties>
</file>