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64" w:rsidRDefault="001B0F36" w:rsidP="001B0F36">
      <w:pPr>
        <w:widowControl w:val="0"/>
        <w:autoSpaceDE w:val="0"/>
        <w:autoSpaceDN w:val="0"/>
        <w:jc w:val="both"/>
      </w:pPr>
      <w:r>
        <w:rPr>
          <w:noProof/>
        </w:rPr>
        <w:drawing>
          <wp:inline distT="0" distB="0" distL="0" distR="0">
            <wp:extent cx="9531626" cy="6380922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639" cy="6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995"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8E5664" w:rsidRDefault="008E5664" w:rsidP="008E56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664" w:rsidRPr="0099506F" w:rsidRDefault="008E5664" w:rsidP="008E56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506F">
        <w:rPr>
          <w:rFonts w:ascii="Times New Roman" w:hAnsi="Times New Roman" w:cs="Times New Roman"/>
          <w:b/>
          <w:sz w:val="24"/>
          <w:szCs w:val="24"/>
        </w:rPr>
        <w:lastRenderedPageBreak/>
        <w:t>ЧАСТЬ 2. Сведения о выполняемых работах</w:t>
      </w:r>
    </w:p>
    <w:p w:rsidR="008E5664" w:rsidRPr="00F90603" w:rsidRDefault="008E5664" w:rsidP="008E56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664" w:rsidRPr="00BE6F84" w:rsidRDefault="008E5664" w:rsidP="008E566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F84">
        <w:rPr>
          <w:rFonts w:ascii="Times New Roman" w:hAnsi="Times New Roman" w:cs="Times New Roman"/>
          <w:b/>
          <w:sz w:val="24"/>
          <w:szCs w:val="24"/>
        </w:rPr>
        <w:t>Наименование работы:</w:t>
      </w:r>
    </w:p>
    <w:p w:rsidR="008E5664" w:rsidRPr="00BE6F84" w:rsidRDefault="008E5664" w:rsidP="008E566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образовательной деятельности</w:t>
      </w:r>
    </w:p>
    <w:p w:rsidR="008E5664" w:rsidRPr="00F90603" w:rsidRDefault="008E5664" w:rsidP="008E56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Уникальный номер </w:t>
      </w:r>
    </w:p>
    <w:p w:rsidR="008E5664" w:rsidRDefault="008E5664" w:rsidP="008E56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ведомственному перечню    </w:t>
      </w:r>
      <w:r w:rsidRPr="003F23F5">
        <w:rPr>
          <w:rFonts w:ascii="Times New Roman" w:hAnsi="Times New Roman" w:cs="Times New Roman"/>
          <w:b/>
        </w:rPr>
        <w:t>48Д70100000000000005101</w:t>
      </w:r>
    </w:p>
    <w:p w:rsidR="008E5664" w:rsidRDefault="008E5664" w:rsidP="008E56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>Категории потребителей работы по ведомственному перечню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5664" w:rsidRPr="005B23A2" w:rsidRDefault="008E5664" w:rsidP="008E566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3A2">
        <w:rPr>
          <w:rFonts w:ascii="Times New Roman" w:hAnsi="Times New Roman" w:cs="Times New Roman"/>
          <w:sz w:val="24"/>
          <w:szCs w:val="24"/>
          <w:u w:val="single"/>
        </w:rPr>
        <w:t>В интересах общества</w:t>
      </w:r>
    </w:p>
    <w:p w:rsidR="008E5664" w:rsidRPr="00F90603" w:rsidRDefault="008E5664" w:rsidP="008E56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>1. Показатели, характеризующие объем и (или) качество работы</w:t>
      </w:r>
    </w:p>
    <w:p w:rsidR="008E5664" w:rsidRDefault="001B0F36" w:rsidP="008E56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393" w:history="1">
        <w:r w:rsidR="008E5664" w:rsidRPr="00F90603">
          <w:rPr>
            <w:rFonts w:ascii="Times New Roman" w:hAnsi="Times New Roman" w:cs="Times New Roman"/>
            <w:color w:val="0000FF"/>
            <w:sz w:val="24"/>
            <w:szCs w:val="24"/>
          </w:rPr>
          <w:t>2)</w:t>
        </w:r>
      </w:hyperlink>
      <w:r w:rsidR="008E5664" w:rsidRPr="00F90603">
        <w:rPr>
          <w:rFonts w:ascii="Times New Roman" w:hAnsi="Times New Roman" w:cs="Times New Roman"/>
          <w:sz w:val="24"/>
          <w:szCs w:val="24"/>
        </w:rPr>
        <w:t>Показатели, характеризующие качество работы</w:t>
      </w:r>
    </w:p>
    <w:tbl>
      <w:tblPr>
        <w:tblW w:w="489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"/>
        <w:gridCol w:w="2219"/>
        <w:gridCol w:w="2288"/>
        <w:gridCol w:w="2198"/>
        <w:gridCol w:w="1936"/>
        <w:gridCol w:w="27"/>
        <w:gridCol w:w="702"/>
        <w:gridCol w:w="1753"/>
        <w:gridCol w:w="1753"/>
        <w:gridCol w:w="1974"/>
      </w:tblGrid>
      <w:tr w:rsidR="008E5664" w:rsidRPr="00D36150" w:rsidTr="008E5664">
        <w:tc>
          <w:tcPr>
            <w:tcW w:w="493" w:type="dxa"/>
            <w:vMerge w:val="restart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 xml:space="preserve">N </w:t>
            </w:r>
            <w:proofErr w:type="gramStart"/>
            <w:r w:rsidRPr="00D36150">
              <w:t>п</w:t>
            </w:r>
            <w:proofErr w:type="gramEnd"/>
            <w:r w:rsidRPr="00D36150">
              <w:t>/п</w:t>
            </w:r>
          </w:p>
        </w:tc>
        <w:tc>
          <w:tcPr>
            <w:tcW w:w="2075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Показатель, характеризующий содержание работы</w:t>
            </w:r>
          </w:p>
        </w:tc>
        <w:tc>
          <w:tcPr>
            <w:tcW w:w="2139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Показатель, характеризующий условия (формы) оказания работы</w:t>
            </w:r>
          </w:p>
        </w:tc>
        <w:tc>
          <w:tcPr>
            <w:tcW w:w="4546" w:type="dxa"/>
            <w:gridSpan w:val="4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Показатель качества работы</w:t>
            </w:r>
          </w:p>
        </w:tc>
        <w:tc>
          <w:tcPr>
            <w:tcW w:w="5124" w:type="dxa"/>
            <w:gridSpan w:val="3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Значение показателя качества работы</w:t>
            </w:r>
          </w:p>
        </w:tc>
      </w:tr>
      <w:tr w:rsidR="008E5664" w:rsidRPr="00D36150" w:rsidTr="008E5664">
        <w:tc>
          <w:tcPr>
            <w:tcW w:w="493" w:type="dxa"/>
            <w:vMerge/>
          </w:tcPr>
          <w:p w:rsidR="008E5664" w:rsidRPr="000205E7" w:rsidRDefault="008E5664" w:rsidP="008E5664">
            <w:pPr>
              <w:rPr>
                <w:rFonts w:eastAsia="Calibri"/>
              </w:rPr>
            </w:pPr>
          </w:p>
        </w:tc>
        <w:tc>
          <w:tcPr>
            <w:tcW w:w="2075" w:type="dxa"/>
            <w:vMerge w:val="restart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наименование показателя</w:t>
            </w:r>
          </w:p>
        </w:tc>
        <w:tc>
          <w:tcPr>
            <w:tcW w:w="2139" w:type="dxa"/>
            <w:vMerge w:val="restart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наименование показателя</w:t>
            </w:r>
          </w:p>
        </w:tc>
        <w:tc>
          <w:tcPr>
            <w:tcW w:w="2055" w:type="dxa"/>
            <w:vMerge w:val="restart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наименование показателя</w:t>
            </w:r>
          </w:p>
        </w:tc>
        <w:tc>
          <w:tcPr>
            <w:tcW w:w="2491" w:type="dxa"/>
            <w:gridSpan w:val="3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 xml:space="preserve">единица измерения по </w:t>
            </w:r>
            <w:hyperlink r:id="rId7" w:history="1">
              <w:r w:rsidRPr="00D36150">
                <w:t>ОКЕИ</w:t>
              </w:r>
            </w:hyperlink>
          </w:p>
        </w:tc>
        <w:tc>
          <w:tcPr>
            <w:tcW w:w="1639" w:type="dxa"/>
            <w:vMerge w:val="restart"/>
          </w:tcPr>
          <w:p w:rsidR="008E5664" w:rsidRPr="00D36150" w:rsidRDefault="001C1D73" w:rsidP="008E5664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="008E5664" w:rsidRPr="00D36150">
              <w:t xml:space="preserve"> год (очередной финансовый год)</w:t>
            </w:r>
          </w:p>
        </w:tc>
        <w:tc>
          <w:tcPr>
            <w:tcW w:w="1639" w:type="dxa"/>
            <w:vMerge w:val="restart"/>
          </w:tcPr>
          <w:p w:rsidR="008E5664" w:rsidRPr="00D36150" w:rsidRDefault="001C1D73" w:rsidP="008E5664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="008E5664" w:rsidRPr="00D36150">
              <w:t xml:space="preserve"> год (1-й год планового периода)</w:t>
            </w:r>
          </w:p>
        </w:tc>
        <w:tc>
          <w:tcPr>
            <w:tcW w:w="1846" w:type="dxa"/>
            <w:vMerge w:val="restart"/>
          </w:tcPr>
          <w:p w:rsidR="008E5664" w:rsidRPr="00D36150" w:rsidRDefault="001C1D73" w:rsidP="008E5664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  <w:r w:rsidR="008E5664" w:rsidRPr="00D36150">
              <w:t xml:space="preserve"> год (2-й год планового периода)</w:t>
            </w:r>
          </w:p>
        </w:tc>
      </w:tr>
      <w:tr w:rsidR="008E5664" w:rsidRPr="00D36150" w:rsidTr="008E5664">
        <w:tc>
          <w:tcPr>
            <w:tcW w:w="493" w:type="dxa"/>
            <w:vMerge/>
          </w:tcPr>
          <w:p w:rsidR="008E5664" w:rsidRPr="000205E7" w:rsidRDefault="008E5664" w:rsidP="008E5664">
            <w:pPr>
              <w:rPr>
                <w:rFonts w:eastAsia="Calibri"/>
              </w:rPr>
            </w:pPr>
          </w:p>
        </w:tc>
        <w:tc>
          <w:tcPr>
            <w:tcW w:w="2075" w:type="dxa"/>
            <w:vMerge/>
          </w:tcPr>
          <w:p w:rsidR="008E5664" w:rsidRPr="000205E7" w:rsidRDefault="008E5664" w:rsidP="008E5664">
            <w:pPr>
              <w:rPr>
                <w:rFonts w:eastAsia="Calibri"/>
              </w:rPr>
            </w:pPr>
          </w:p>
        </w:tc>
        <w:tc>
          <w:tcPr>
            <w:tcW w:w="2139" w:type="dxa"/>
            <w:vMerge/>
          </w:tcPr>
          <w:p w:rsidR="008E5664" w:rsidRPr="000205E7" w:rsidRDefault="008E5664" w:rsidP="008E5664">
            <w:pPr>
              <w:rPr>
                <w:rFonts w:eastAsia="Calibri"/>
              </w:rPr>
            </w:pPr>
          </w:p>
        </w:tc>
        <w:tc>
          <w:tcPr>
            <w:tcW w:w="2055" w:type="dxa"/>
            <w:vMerge/>
          </w:tcPr>
          <w:p w:rsidR="008E5664" w:rsidRPr="000205E7" w:rsidRDefault="008E5664" w:rsidP="008E5664">
            <w:pPr>
              <w:rPr>
                <w:rFonts w:eastAsia="Calibri"/>
              </w:rPr>
            </w:pPr>
          </w:p>
        </w:tc>
        <w:tc>
          <w:tcPr>
            <w:tcW w:w="1835" w:type="dxa"/>
            <w:gridSpan w:val="2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наименование</w:t>
            </w:r>
          </w:p>
        </w:tc>
        <w:tc>
          <w:tcPr>
            <w:tcW w:w="656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код</w:t>
            </w:r>
          </w:p>
        </w:tc>
        <w:tc>
          <w:tcPr>
            <w:tcW w:w="1639" w:type="dxa"/>
            <w:vMerge/>
          </w:tcPr>
          <w:p w:rsidR="008E5664" w:rsidRPr="000205E7" w:rsidRDefault="008E5664" w:rsidP="008E5664">
            <w:pPr>
              <w:rPr>
                <w:rFonts w:eastAsia="Calibri"/>
              </w:rPr>
            </w:pPr>
          </w:p>
        </w:tc>
        <w:tc>
          <w:tcPr>
            <w:tcW w:w="1639" w:type="dxa"/>
            <w:vMerge/>
          </w:tcPr>
          <w:p w:rsidR="008E5664" w:rsidRPr="000205E7" w:rsidRDefault="008E5664" w:rsidP="008E5664">
            <w:pPr>
              <w:rPr>
                <w:rFonts w:eastAsia="Calibri"/>
              </w:rPr>
            </w:pPr>
          </w:p>
        </w:tc>
        <w:tc>
          <w:tcPr>
            <w:tcW w:w="1846" w:type="dxa"/>
            <w:vMerge/>
          </w:tcPr>
          <w:p w:rsidR="008E5664" w:rsidRPr="000205E7" w:rsidRDefault="008E5664" w:rsidP="008E5664">
            <w:pPr>
              <w:rPr>
                <w:rFonts w:eastAsia="Calibri"/>
              </w:rPr>
            </w:pPr>
          </w:p>
        </w:tc>
      </w:tr>
      <w:tr w:rsidR="008E5664" w:rsidRPr="00D36150" w:rsidTr="008E5664">
        <w:tc>
          <w:tcPr>
            <w:tcW w:w="493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1</w:t>
            </w:r>
          </w:p>
        </w:tc>
        <w:tc>
          <w:tcPr>
            <w:tcW w:w="2075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2</w:t>
            </w:r>
          </w:p>
        </w:tc>
        <w:tc>
          <w:tcPr>
            <w:tcW w:w="2139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3</w:t>
            </w:r>
          </w:p>
        </w:tc>
        <w:tc>
          <w:tcPr>
            <w:tcW w:w="2055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4</w:t>
            </w:r>
          </w:p>
        </w:tc>
        <w:tc>
          <w:tcPr>
            <w:tcW w:w="1835" w:type="dxa"/>
            <w:gridSpan w:val="2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5</w:t>
            </w:r>
          </w:p>
        </w:tc>
        <w:tc>
          <w:tcPr>
            <w:tcW w:w="656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6</w:t>
            </w:r>
          </w:p>
        </w:tc>
        <w:tc>
          <w:tcPr>
            <w:tcW w:w="1639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7</w:t>
            </w:r>
          </w:p>
        </w:tc>
        <w:tc>
          <w:tcPr>
            <w:tcW w:w="1639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8</w:t>
            </w:r>
          </w:p>
        </w:tc>
        <w:tc>
          <w:tcPr>
            <w:tcW w:w="1846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9</w:t>
            </w:r>
          </w:p>
        </w:tc>
      </w:tr>
      <w:tr w:rsidR="008E5664" w:rsidRPr="00D36150" w:rsidTr="008E5664">
        <w:trPr>
          <w:trHeight w:val="1194"/>
        </w:trPr>
        <w:tc>
          <w:tcPr>
            <w:tcW w:w="493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75" w:type="dxa"/>
          </w:tcPr>
          <w:p w:rsidR="008E5664" w:rsidRPr="005B23A2" w:rsidRDefault="008E5664" w:rsidP="008E5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3A2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образовательной деятельности</w:t>
            </w:r>
            <w:r w:rsidR="001C1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5664" w:rsidRPr="00D36150" w:rsidRDefault="008E5664" w:rsidP="008E5664">
            <w:pPr>
              <w:jc w:val="center"/>
            </w:pPr>
          </w:p>
        </w:tc>
        <w:tc>
          <w:tcPr>
            <w:tcW w:w="2139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очная</w:t>
            </w:r>
          </w:p>
        </w:tc>
        <w:tc>
          <w:tcPr>
            <w:tcW w:w="2055" w:type="dxa"/>
          </w:tcPr>
          <w:p w:rsidR="008E5664" w:rsidRPr="00D36150" w:rsidRDefault="008E5664" w:rsidP="008E5664">
            <w:pPr>
              <w:rPr>
                <w:color w:val="000000"/>
              </w:rPr>
            </w:pPr>
            <w:r w:rsidRPr="00D36150">
              <w:rPr>
                <w:color w:val="000000"/>
              </w:rPr>
              <w:t>Количество отчетов, составленных по результатам работы  (Штука)</w:t>
            </w:r>
          </w:p>
        </w:tc>
        <w:tc>
          <w:tcPr>
            <w:tcW w:w="1810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штука</w:t>
            </w:r>
          </w:p>
        </w:tc>
        <w:tc>
          <w:tcPr>
            <w:tcW w:w="681" w:type="dxa"/>
            <w:gridSpan w:val="2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796</w:t>
            </w:r>
          </w:p>
        </w:tc>
        <w:tc>
          <w:tcPr>
            <w:tcW w:w="1639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100</w:t>
            </w:r>
          </w:p>
        </w:tc>
        <w:tc>
          <w:tcPr>
            <w:tcW w:w="1639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100</w:t>
            </w:r>
          </w:p>
        </w:tc>
        <w:tc>
          <w:tcPr>
            <w:tcW w:w="1846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100</w:t>
            </w:r>
          </w:p>
        </w:tc>
      </w:tr>
      <w:tr w:rsidR="008E5664" w:rsidRPr="00D36150" w:rsidTr="008E5664">
        <w:trPr>
          <w:trHeight w:val="628"/>
        </w:trPr>
        <w:tc>
          <w:tcPr>
            <w:tcW w:w="493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75" w:type="dxa"/>
          </w:tcPr>
          <w:p w:rsidR="008E5664" w:rsidRPr="00D36150" w:rsidRDefault="008E5664" w:rsidP="008E5664"/>
        </w:tc>
        <w:tc>
          <w:tcPr>
            <w:tcW w:w="2139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55" w:type="dxa"/>
          </w:tcPr>
          <w:p w:rsidR="008E5664" w:rsidRPr="00D36150" w:rsidRDefault="008E5664" w:rsidP="008E5664">
            <w:pPr>
              <w:rPr>
                <w:color w:val="000000"/>
              </w:rPr>
            </w:pPr>
            <w:r>
              <w:rPr>
                <w:color w:val="000000"/>
              </w:rPr>
              <w:t>Количество мероприятий</w:t>
            </w:r>
          </w:p>
        </w:tc>
        <w:tc>
          <w:tcPr>
            <w:tcW w:w="1810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>
              <w:t>единица</w:t>
            </w:r>
          </w:p>
        </w:tc>
        <w:tc>
          <w:tcPr>
            <w:tcW w:w="681" w:type="dxa"/>
            <w:gridSpan w:val="2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>
              <w:t>642</w:t>
            </w:r>
          </w:p>
        </w:tc>
        <w:tc>
          <w:tcPr>
            <w:tcW w:w="1639" w:type="dxa"/>
          </w:tcPr>
          <w:p w:rsidR="008E5664" w:rsidRPr="00D36150" w:rsidRDefault="001C1D73" w:rsidP="008E5664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1639" w:type="dxa"/>
          </w:tcPr>
          <w:p w:rsidR="008E5664" w:rsidRPr="00D36150" w:rsidRDefault="001C1D73" w:rsidP="008E5664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1846" w:type="dxa"/>
          </w:tcPr>
          <w:p w:rsidR="008E5664" w:rsidRPr="00D36150" w:rsidRDefault="001C1D73" w:rsidP="008E5664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</w:tr>
      <w:tr w:rsidR="008E5664" w:rsidRPr="00D36150" w:rsidTr="008E5664">
        <w:trPr>
          <w:trHeight w:val="924"/>
        </w:trPr>
        <w:tc>
          <w:tcPr>
            <w:tcW w:w="493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75" w:type="dxa"/>
          </w:tcPr>
          <w:p w:rsidR="008E5664" w:rsidRPr="00D36150" w:rsidRDefault="008E5664" w:rsidP="008E5664"/>
        </w:tc>
        <w:tc>
          <w:tcPr>
            <w:tcW w:w="2139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55" w:type="dxa"/>
          </w:tcPr>
          <w:p w:rsidR="008E5664" w:rsidRPr="00D36150" w:rsidRDefault="008E5664" w:rsidP="008E5664">
            <w:pPr>
              <w:rPr>
                <w:color w:val="000000"/>
              </w:rPr>
            </w:pPr>
            <w:r w:rsidRPr="00D36150">
              <w:t>Количество разрабо</w:t>
            </w:r>
            <w:r>
              <w:t>танных документов (лист</w:t>
            </w:r>
            <w:r w:rsidRPr="00D36150">
              <w:t>)</w:t>
            </w:r>
          </w:p>
        </w:tc>
        <w:tc>
          <w:tcPr>
            <w:tcW w:w="1810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>
              <w:t xml:space="preserve">Лист </w:t>
            </w:r>
          </w:p>
        </w:tc>
        <w:tc>
          <w:tcPr>
            <w:tcW w:w="681" w:type="dxa"/>
            <w:gridSpan w:val="2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>
              <w:t>625</w:t>
            </w:r>
          </w:p>
        </w:tc>
        <w:tc>
          <w:tcPr>
            <w:tcW w:w="1639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1000</w:t>
            </w:r>
          </w:p>
        </w:tc>
        <w:tc>
          <w:tcPr>
            <w:tcW w:w="1639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1000</w:t>
            </w:r>
          </w:p>
        </w:tc>
        <w:tc>
          <w:tcPr>
            <w:tcW w:w="1846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1000</w:t>
            </w:r>
          </w:p>
        </w:tc>
      </w:tr>
    </w:tbl>
    <w:p w:rsidR="008E5664" w:rsidRPr="00035DE1" w:rsidRDefault="008E5664" w:rsidP="008E5664">
      <w:pPr>
        <w:pStyle w:val="a5"/>
        <w:widowControl w:val="0"/>
        <w:numPr>
          <w:ilvl w:val="0"/>
          <w:numId w:val="3"/>
        </w:numPr>
        <w:autoSpaceDE w:val="0"/>
        <w:autoSpaceDN w:val="0"/>
        <w:jc w:val="both"/>
      </w:pPr>
      <w:r w:rsidRPr="00035DE1"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(в %) 10.                                     </w:t>
      </w:r>
    </w:p>
    <w:p w:rsidR="008E5664" w:rsidRPr="00F90603" w:rsidRDefault="008E5664" w:rsidP="008E5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>1.2. Показатели, характеризующие объем работы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2162"/>
        <w:gridCol w:w="1678"/>
        <w:gridCol w:w="1960"/>
        <w:gridCol w:w="1104"/>
        <w:gridCol w:w="550"/>
        <w:gridCol w:w="1454"/>
        <w:gridCol w:w="28"/>
        <w:gridCol w:w="1107"/>
        <w:gridCol w:w="1332"/>
        <w:gridCol w:w="1249"/>
        <w:gridCol w:w="1338"/>
        <w:gridCol w:w="1267"/>
      </w:tblGrid>
      <w:tr w:rsidR="008E5664" w:rsidRPr="00D36150" w:rsidTr="00AC09CF">
        <w:tc>
          <w:tcPr>
            <w:tcW w:w="487" w:type="dxa"/>
            <w:vMerge w:val="restart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lastRenderedPageBreak/>
              <w:t xml:space="preserve">N </w:t>
            </w:r>
            <w:proofErr w:type="gramStart"/>
            <w:r w:rsidRPr="00D36150">
              <w:t>п</w:t>
            </w:r>
            <w:proofErr w:type="gramEnd"/>
            <w:r w:rsidRPr="00D36150">
              <w:t>/п</w:t>
            </w:r>
          </w:p>
        </w:tc>
        <w:tc>
          <w:tcPr>
            <w:tcW w:w="2162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Показатель, характеризующий содержание муниципальной услуги</w:t>
            </w:r>
          </w:p>
        </w:tc>
        <w:tc>
          <w:tcPr>
            <w:tcW w:w="1678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Показатель, характеризующий условия (формы) оказания муниципальной услуги</w:t>
            </w:r>
          </w:p>
        </w:tc>
        <w:tc>
          <w:tcPr>
            <w:tcW w:w="3614" w:type="dxa"/>
            <w:gridSpan w:val="3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Показатель объема муниципальной услуги</w:t>
            </w:r>
          </w:p>
        </w:tc>
        <w:tc>
          <w:tcPr>
            <w:tcW w:w="3921" w:type="dxa"/>
            <w:gridSpan w:val="4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Значение показателя объема муниципальной услуги</w:t>
            </w:r>
          </w:p>
        </w:tc>
        <w:tc>
          <w:tcPr>
            <w:tcW w:w="3854" w:type="dxa"/>
            <w:gridSpan w:val="3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Среднегодовой размер платы (цена, тариф), руб./ед. объема муниципальной услуги</w:t>
            </w:r>
          </w:p>
        </w:tc>
      </w:tr>
      <w:tr w:rsidR="001C1D73" w:rsidRPr="00D36150" w:rsidTr="00AC09CF">
        <w:tc>
          <w:tcPr>
            <w:tcW w:w="487" w:type="dxa"/>
            <w:vMerge/>
          </w:tcPr>
          <w:p w:rsidR="001C1D73" w:rsidRPr="000205E7" w:rsidRDefault="001C1D73" w:rsidP="008E5664">
            <w:pPr>
              <w:rPr>
                <w:rFonts w:eastAsia="Calibri"/>
              </w:rPr>
            </w:pPr>
          </w:p>
        </w:tc>
        <w:tc>
          <w:tcPr>
            <w:tcW w:w="2162" w:type="dxa"/>
            <w:vMerge w:val="restart"/>
          </w:tcPr>
          <w:p w:rsidR="001C1D73" w:rsidRPr="00D36150" w:rsidRDefault="001C1D73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наименование показателя</w:t>
            </w:r>
          </w:p>
        </w:tc>
        <w:tc>
          <w:tcPr>
            <w:tcW w:w="1678" w:type="dxa"/>
            <w:vMerge w:val="restart"/>
          </w:tcPr>
          <w:p w:rsidR="001C1D73" w:rsidRPr="00D36150" w:rsidRDefault="001C1D73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наименование показателя</w:t>
            </w:r>
          </w:p>
        </w:tc>
        <w:tc>
          <w:tcPr>
            <w:tcW w:w="1960" w:type="dxa"/>
            <w:vMerge w:val="restart"/>
          </w:tcPr>
          <w:p w:rsidR="001C1D73" w:rsidRPr="00D36150" w:rsidRDefault="001C1D73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наименование показателя</w:t>
            </w:r>
          </w:p>
        </w:tc>
        <w:tc>
          <w:tcPr>
            <w:tcW w:w="1654" w:type="dxa"/>
            <w:gridSpan w:val="2"/>
          </w:tcPr>
          <w:p w:rsidR="001C1D73" w:rsidRPr="00D36150" w:rsidRDefault="001C1D73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 xml:space="preserve">единица измерения по </w:t>
            </w:r>
            <w:hyperlink r:id="rId8" w:history="1">
              <w:r w:rsidRPr="00D36150">
                <w:t>ОКЕИ</w:t>
              </w:r>
            </w:hyperlink>
          </w:p>
        </w:tc>
        <w:tc>
          <w:tcPr>
            <w:tcW w:w="1454" w:type="dxa"/>
            <w:vMerge w:val="restart"/>
          </w:tcPr>
          <w:p w:rsidR="001C1D73" w:rsidRPr="00D36150" w:rsidRDefault="001C1D73" w:rsidP="0010677F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Pr="00D36150">
              <w:t xml:space="preserve"> год (очередной финансовый год)</w:t>
            </w:r>
          </w:p>
        </w:tc>
        <w:tc>
          <w:tcPr>
            <w:tcW w:w="1135" w:type="dxa"/>
            <w:gridSpan w:val="2"/>
            <w:vMerge w:val="restart"/>
          </w:tcPr>
          <w:p w:rsidR="001C1D73" w:rsidRPr="00D36150" w:rsidRDefault="001C1D73" w:rsidP="0010677F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Pr="00D36150">
              <w:t xml:space="preserve"> год (1-й год планового периода)</w:t>
            </w:r>
          </w:p>
        </w:tc>
        <w:tc>
          <w:tcPr>
            <w:tcW w:w="1332" w:type="dxa"/>
            <w:vMerge w:val="restart"/>
          </w:tcPr>
          <w:p w:rsidR="001C1D73" w:rsidRPr="00D36150" w:rsidRDefault="001C1D73" w:rsidP="0010677F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  <w:r w:rsidRPr="00D36150">
              <w:t xml:space="preserve"> год (2-й год планового периода)</w:t>
            </w:r>
          </w:p>
        </w:tc>
        <w:tc>
          <w:tcPr>
            <w:tcW w:w="1249" w:type="dxa"/>
            <w:vMerge w:val="restart"/>
          </w:tcPr>
          <w:p w:rsidR="001C1D73" w:rsidRPr="00D36150" w:rsidRDefault="001C1D73" w:rsidP="0010677F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Pr="00D36150">
              <w:t xml:space="preserve"> год (очередной финансовый год)</w:t>
            </w:r>
          </w:p>
        </w:tc>
        <w:tc>
          <w:tcPr>
            <w:tcW w:w="1338" w:type="dxa"/>
            <w:vMerge w:val="restart"/>
          </w:tcPr>
          <w:p w:rsidR="001C1D73" w:rsidRPr="00D36150" w:rsidRDefault="001C1D73" w:rsidP="0010677F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Pr="00D36150">
              <w:t xml:space="preserve"> год (1-й год планового периода)</w:t>
            </w:r>
          </w:p>
        </w:tc>
        <w:tc>
          <w:tcPr>
            <w:tcW w:w="1267" w:type="dxa"/>
            <w:vMerge w:val="restart"/>
          </w:tcPr>
          <w:p w:rsidR="001C1D73" w:rsidRPr="00D36150" w:rsidRDefault="001C1D73" w:rsidP="0010677F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  <w:r w:rsidRPr="00D36150">
              <w:t xml:space="preserve"> год (2-й год планового периода)</w:t>
            </w:r>
          </w:p>
        </w:tc>
      </w:tr>
      <w:tr w:rsidR="008E5664" w:rsidRPr="00D36150" w:rsidTr="00AC09CF">
        <w:trPr>
          <w:trHeight w:val="465"/>
        </w:trPr>
        <w:tc>
          <w:tcPr>
            <w:tcW w:w="487" w:type="dxa"/>
            <w:vMerge/>
          </w:tcPr>
          <w:p w:rsidR="008E5664" w:rsidRPr="000205E7" w:rsidRDefault="008E5664" w:rsidP="008E5664">
            <w:pPr>
              <w:rPr>
                <w:rFonts w:eastAsia="Calibri"/>
              </w:rPr>
            </w:pPr>
          </w:p>
        </w:tc>
        <w:tc>
          <w:tcPr>
            <w:tcW w:w="2162" w:type="dxa"/>
            <w:vMerge/>
          </w:tcPr>
          <w:p w:rsidR="008E5664" w:rsidRPr="000205E7" w:rsidRDefault="008E5664" w:rsidP="008E5664">
            <w:pPr>
              <w:rPr>
                <w:rFonts w:eastAsia="Calibri"/>
              </w:rPr>
            </w:pPr>
          </w:p>
        </w:tc>
        <w:tc>
          <w:tcPr>
            <w:tcW w:w="1678" w:type="dxa"/>
            <w:vMerge/>
          </w:tcPr>
          <w:p w:rsidR="008E5664" w:rsidRPr="000205E7" w:rsidRDefault="008E5664" w:rsidP="008E5664">
            <w:pPr>
              <w:rPr>
                <w:rFonts w:eastAsia="Calibri"/>
              </w:rPr>
            </w:pPr>
          </w:p>
        </w:tc>
        <w:tc>
          <w:tcPr>
            <w:tcW w:w="1960" w:type="dxa"/>
            <w:vMerge/>
          </w:tcPr>
          <w:p w:rsidR="008E5664" w:rsidRPr="000205E7" w:rsidRDefault="008E5664" w:rsidP="008E5664">
            <w:pPr>
              <w:rPr>
                <w:rFonts w:eastAsia="Calibri"/>
              </w:rPr>
            </w:pPr>
          </w:p>
        </w:tc>
        <w:tc>
          <w:tcPr>
            <w:tcW w:w="1104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наименование</w:t>
            </w:r>
          </w:p>
        </w:tc>
        <w:tc>
          <w:tcPr>
            <w:tcW w:w="550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код</w:t>
            </w:r>
          </w:p>
        </w:tc>
        <w:tc>
          <w:tcPr>
            <w:tcW w:w="1454" w:type="dxa"/>
            <w:vMerge/>
          </w:tcPr>
          <w:p w:rsidR="008E5664" w:rsidRPr="000205E7" w:rsidRDefault="008E5664" w:rsidP="008E5664">
            <w:pPr>
              <w:rPr>
                <w:rFonts w:eastAsia="Calibri"/>
              </w:rPr>
            </w:pPr>
          </w:p>
        </w:tc>
        <w:tc>
          <w:tcPr>
            <w:tcW w:w="1135" w:type="dxa"/>
            <w:gridSpan w:val="2"/>
            <w:vMerge/>
          </w:tcPr>
          <w:p w:rsidR="008E5664" w:rsidRPr="000205E7" w:rsidRDefault="008E5664" w:rsidP="008E5664">
            <w:pPr>
              <w:rPr>
                <w:rFonts w:eastAsia="Calibri"/>
              </w:rPr>
            </w:pPr>
          </w:p>
        </w:tc>
        <w:tc>
          <w:tcPr>
            <w:tcW w:w="1332" w:type="dxa"/>
            <w:vMerge/>
          </w:tcPr>
          <w:p w:rsidR="008E5664" w:rsidRPr="000205E7" w:rsidRDefault="008E5664" w:rsidP="008E5664">
            <w:pPr>
              <w:rPr>
                <w:rFonts w:eastAsia="Calibri"/>
              </w:rPr>
            </w:pPr>
          </w:p>
        </w:tc>
        <w:tc>
          <w:tcPr>
            <w:tcW w:w="1249" w:type="dxa"/>
            <w:vMerge/>
          </w:tcPr>
          <w:p w:rsidR="008E5664" w:rsidRPr="000205E7" w:rsidRDefault="008E5664" w:rsidP="008E5664">
            <w:pPr>
              <w:rPr>
                <w:rFonts w:eastAsia="Calibri"/>
              </w:rPr>
            </w:pPr>
          </w:p>
        </w:tc>
        <w:tc>
          <w:tcPr>
            <w:tcW w:w="1338" w:type="dxa"/>
            <w:vMerge/>
          </w:tcPr>
          <w:p w:rsidR="008E5664" w:rsidRPr="000205E7" w:rsidRDefault="008E5664" w:rsidP="008E5664">
            <w:pPr>
              <w:rPr>
                <w:rFonts w:eastAsia="Calibri"/>
              </w:rPr>
            </w:pPr>
          </w:p>
        </w:tc>
        <w:tc>
          <w:tcPr>
            <w:tcW w:w="1267" w:type="dxa"/>
            <w:vMerge/>
          </w:tcPr>
          <w:p w:rsidR="008E5664" w:rsidRPr="000205E7" w:rsidRDefault="008E5664" w:rsidP="008E5664">
            <w:pPr>
              <w:rPr>
                <w:rFonts w:eastAsia="Calibri"/>
              </w:rPr>
            </w:pPr>
          </w:p>
        </w:tc>
      </w:tr>
      <w:tr w:rsidR="008E5664" w:rsidRPr="00D36150" w:rsidTr="00AC09CF">
        <w:tc>
          <w:tcPr>
            <w:tcW w:w="487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1</w:t>
            </w:r>
          </w:p>
        </w:tc>
        <w:tc>
          <w:tcPr>
            <w:tcW w:w="2162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2</w:t>
            </w:r>
          </w:p>
        </w:tc>
        <w:tc>
          <w:tcPr>
            <w:tcW w:w="1678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3</w:t>
            </w:r>
          </w:p>
        </w:tc>
        <w:tc>
          <w:tcPr>
            <w:tcW w:w="1960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4</w:t>
            </w:r>
          </w:p>
        </w:tc>
        <w:tc>
          <w:tcPr>
            <w:tcW w:w="1104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5</w:t>
            </w:r>
          </w:p>
        </w:tc>
        <w:tc>
          <w:tcPr>
            <w:tcW w:w="550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6</w:t>
            </w:r>
          </w:p>
        </w:tc>
        <w:tc>
          <w:tcPr>
            <w:tcW w:w="1454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7</w:t>
            </w:r>
          </w:p>
        </w:tc>
        <w:tc>
          <w:tcPr>
            <w:tcW w:w="1135" w:type="dxa"/>
            <w:gridSpan w:val="2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8</w:t>
            </w:r>
          </w:p>
        </w:tc>
        <w:tc>
          <w:tcPr>
            <w:tcW w:w="1332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9</w:t>
            </w:r>
          </w:p>
        </w:tc>
        <w:tc>
          <w:tcPr>
            <w:tcW w:w="1249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38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67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</w:p>
        </w:tc>
      </w:tr>
      <w:tr w:rsidR="008E5664" w:rsidRPr="00D36150" w:rsidTr="00AC09CF">
        <w:trPr>
          <w:trHeight w:val="1244"/>
        </w:trPr>
        <w:tc>
          <w:tcPr>
            <w:tcW w:w="487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1</w:t>
            </w:r>
          </w:p>
        </w:tc>
        <w:tc>
          <w:tcPr>
            <w:tcW w:w="2162" w:type="dxa"/>
          </w:tcPr>
          <w:p w:rsidR="008E5664" w:rsidRPr="005B23A2" w:rsidRDefault="008E5664" w:rsidP="008E5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3A2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образовательной деятельности</w:t>
            </w:r>
            <w:r w:rsidR="001C1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5664" w:rsidRPr="00D36150" w:rsidRDefault="008E5664" w:rsidP="008E5664"/>
        </w:tc>
        <w:tc>
          <w:tcPr>
            <w:tcW w:w="1678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очная</w:t>
            </w:r>
          </w:p>
        </w:tc>
        <w:tc>
          <w:tcPr>
            <w:tcW w:w="1960" w:type="dxa"/>
          </w:tcPr>
          <w:p w:rsidR="008E5664" w:rsidRPr="00D36150" w:rsidRDefault="008E5664" w:rsidP="008E5664">
            <w:pPr>
              <w:rPr>
                <w:color w:val="000000"/>
              </w:rPr>
            </w:pPr>
            <w:r w:rsidRPr="00D36150">
              <w:rPr>
                <w:color w:val="000000"/>
              </w:rPr>
              <w:t>Количество отчетов, составленных по результатам работы  (Штука)</w:t>
            </w:r>
          </w:p>
        </w:tc>
        <w:tc>
          <w:tcPr>
            <w:tcW w:w="1104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штука</w:t>
            </w:r>
          </w:p>
        </w:tc>
        <w:tc>
          <w:tcPr>
            <w:tcW w:w="550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796</w:t>
            </w:r>
          </w:p>
        </w:tc>
        <w:tc>
          <w:tcPr>
            <w:tcW w:w="1482" w:type="dxa"/>
            <w:gridSpan w:val="2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100</w:t>
            </w:r>
          </w:p>
        </w:tc>
        <w:tc>
          <w:tcPr>
            <w:tcW w:w="1107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100</w:t>
            </w:r>
          </w:p>
        </w:tc>
        <w:tc>
          <w:tcPr>
            <w:tcW w:w="1332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100</w:t>
            </w:r>
          </w:p>
        </w:tc>
        <w:tc>
          <w:tcPr>
            <w:tcW w:w="1249" w:type="dxa"/>
          </w:tcPr>
          <w:p w:rsidR="008E5664" w:rsidRPr="00AC09CF" w:rsidRDefault="002F013F" w:rsidP="008E5664">
            <w:pPr>
              <w:widowControl w:val="0"/>
              <w:autoSpaceDE w:val="0"/>
              <w:autoSpaceDN w:val="0"/>
              <w:jc w:val="center"/>
            </w:pPr>
            <w:r>
              <w:t>1 55</w:t>
            </w:r>
            <w:r w:rsidR="00AC09CF" w:rsidRPr="00AC09CF">
              <w:t>0,00</w:t>
            </w:r>
          </w:p>
        </w:tc>
        <w:tc>
          <w:tcPr>
            <w:tcW w:w="1338" w:type="dxa"/>
          </w:tcPr>
          <w:p w:rsidR="008E5664" w:rsidRPr="00AC09CF" w:rsidRDefault="002F013F" w:rsidP="008E5664">
            <w:pPr>
              <w:widowControl w:val="0"/>
              <w:autoSpaceDE w:val="0"/>
              <w:autoSpaceDN w:val="0"/>
              <w:jc w:val="center"/>
            </w:pPr>
            <w:r>
              <w:t>1 55</w:t>
            </w:r>
            <w:r w:rsidR="00AC09CF" w:rsidRPr="00AC09CF">
              <w:t>0,00</w:t>
            </w:r>
          </w:p>
        </w:tc>
        <w:tc>
          <w:tcPr>
            <w:tcW w:w="1267" w:type="dxa"/>
          </w:tcPr>
          <w:p w:rsidR="008E5664" w:rsidRPr="00AC09CF" w:rsidRDefault="002F013F" w:rsidP="008E5664">
            <w:pPr>
              <w:widowControl w:val="0"/>
              <w:autoSpaceDE w:val="0"/>
              <w:autoSpaceDN w:val="0"/>
              <w:jc w:val="center"/>
            </w:pPr>
            <w:r>
              <w:t>1 55</w:t>
            </w:r>
            <w:r w:rsidR="00AC09CF" w:rsidRPr="00AC09CF">
              <w:t>0,00</w:t>
            </w:r>
          </w:p>
        </w:tc>
      </w:tr>
      <w:tr w:rsidR="00AC09CF" w:rsidRPr="00D36150" w:rsidTr="00AC09CF">
        <w:trPr>
          <w:trHeight w:val="692"/>
        </w:trPr>
        <w:tc>
          <w:tcPr>
            <w:tcW w:w="487" w:type="dxa"/>
          </w:tcPr>
          <w:p w:rsidR="00AC09CF" w:rsidRPr="00D36150" w:rsidRDefault="00AC09CF" w:rsidP="008E566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62" w:type="dxa"/>
          </w:tcPr>
          <w:p w:rsidR="00AC09CF" w:rsidRPr="00D36150" w:rsidRDefault="00AC09CF" w:rsidP="008E5664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</w:tcPr>
          <w:p w:rsidR="00AC09CF" w:rsidRPr="00D36150" w:rsidRDefault="00AC09CF" w:rsidP="008E566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60" w:type="dxa"/>
          </w:tcPr>
          <w:p w:rsidR="00AC09CF" w:rsidRPr="00D36150" w:rsidRDefault="00AC09CF" w:rsidP="008E5664">
            <w:pPr>
              <w:rPr>
                <w:color w:val="000000"/>
              </w:rPr>
            </w:pPr>
            <w:r>
              <w:rPr>
                <w:color w:val="000000"/>
              </w:rPr>
              <w:t>Количество мероприятий</w:t>
            </w:r>
          </w:p>
        </w:tc>
        <w:tc>
          <w:tcPr>
            <w:tcW w:w="1104" w:type="dxa"/>
          </w:tcPr>
          <w:p w:rsidR="00AC09CF" w:rsidRPr="00D36150" w:rsidRDefault="00AC09CF" w:rsidP="008E5664">
            <w:pPr>
              <w:widowControl w:val="0"/>
              <w:autoSpaceDE w:val="0"/>
              <w:autoSpaceDN w:val="0"/>
              <w:jc w:val="center"/>
            </w:pPr>
            <w:r>
              <w:t>единица</w:t>
            </w:r>
          </w:p>
        </w:tc>
        <w:tc>
          <w:tcPr>
            <w:tcW w:w="550" w:type="dxa"/>
          </w:tcPr>
          <w:p w:rsidR="00AC09CF" w:rsidRPr="00D36150" w:rsidRDefault="00AC09CF" w:rsidP="008E5664">
            <w:pPr>
              <w:widowControl w:val="0"/>
              <w:autoSpaceDE w:val="0"/>
              <w:autoSpaceDN w:val="0"/>
              <w:jc w:val="center"/>
            </w:pPr>
            <w:r>
              <w:t>642</w:t>
            </w:r>
          </w:p>
        </w:tc>
        <w:tc>
          <w:tcPr>
            <w:tcW w:w="1482" w:type="dxa"/>
            <w:gridSpan w:val="2"/>
          </w:tcPr>
          <w:p w:rsidR="00AC09CF" w:rsidRPr="00D36150" w:rsidRDefault="001C1D73" w:rsidP="008E5664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1107" w:type="dxa"/>
          </w:tcPr>
          <w:p w:rsidR="00AC09CF" w:rsidRPr="00D36150" w:rsidRDefault="001C1D73" w:rsidP="008E5664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1332" w:type="dxa"/>
          </w:tcPr>
          <w:p w:rsidR="00AC09CF" w:rsidRPr="00D36150" w:rsidRDefault="001C1D73" w:rsidP="008E5664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1249" w:type="dxa"/>
          </w:tcPr>
          <w:p w:rsidR="00AC09CF" w:rsidRPr="00AC09CF" w:rsidRDefault="001C1D73" w:rsidP="008E5664">
            <w:pPr>
              <w:widowControl w:val="0"/>
              <w:autoSpaceDE w:val="0"/>
              <w:autoSpaceDN w:val="0"/>
              <w:jc w:val="center"/>
            </w:pPr>
            <w:r>
              <w:t>2 500,00</w:t>
            </w:r>
          </w:p>
        </w:tc>
        <w:tc>
          <w:tcPr>
            <w:tcW w:w="1338" w:type="dxa"/>
          </w:tcPr>
          <w:p w:rsidR="00AC09CF" w:rsidRPr="00AC09CF" w:rsidRDefault="001C1D73" w:rsidP="00AC09CF">
            <w:pPr>
              <w:jc w:val="center"/>
            </w:pPr>
            <w:r>
              <w:t>2 500,00</w:t>
            </w:r>
          </w:p>
        </w:tc>
        <w:tc>
          <w:tcPr>
            <w:tcW w:w="1267" w:type="dxa"/>
          </w:tcPr>
          <w:p w:rsidR="00AC09CF" w:rsidRPr="00AC09CF" w:rsidRDefault="001C1D73" w:rsidP="00AC09CF">
            <w:pPr>
              <w:jc w:val="center"/>
            </w:pPr>
            <w:r>
              <w:t>2 500,00</w:t>
            </w:r>
          </w:p>
        </w:tc>
      </w:tr>
      <w:tr w:rsidR="008E5664" w:rsidRPr="00D36150" w:rsidTr="00AC09CF">
        <w:trPr>
          <w:trHeight w:val="1165"/>
        </w:trPr>
        <w:tc>
          <w:tcPr>
            <w:tcW w:w="487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62" w:type="dxa"/>
          </w:tcPr>
          <w:p w:rsidR="008E5664" w:rsidRPr="00D36150" w:rsidRDefault="008E5664" w:rsidP="008E5664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60" w:type="dxa"/>
          </w:tcPr>
          <w:p w:rsidR="008E5664" w:rsidRPr="00D36150" w:rsidRDefault="008E5664" w:rsidP="008E5664">
            <w:pPr>
              <w:rPr>
                <w:color w:val="000000"/>
              </w:rPr>
            </w:pPr>
            <w:r w:rsidRPr="00D36150">
              <w:t>Количество разрабо</w:t>
            </w:r>
            <w:r>
              <w:t>танных документов (лист</w:t>
            </w:r>
            <w:r w:rsidRPr="00D36150">
              <w:t>)</w:t>
            </w:r>
          </w:p>
        </w:tc>
        <w:tc>
          <w:tcPr>
            <w:tcW w:w="1104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>
              <w:t xml:space="preserve">Лист </w:t>
            </w:r>
          </w:p>
        </w:tc>
        <w:tc>
          <w:tcPr>
            <w:tcW w:w="550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>
              <w:t>625</w:t>
            </w:r>
          </w:p>
        </w:tc>
        <w:tc>
          <w:tcPr>
            <w:tcW w:w="1482" w:type="dxa"/>
            <w:gridSpan w:val="2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1000</w:t>
            </w:r>
          </w:p>
        </w:tc>
        <w:tc>
          <w:tcPr>
            <w:tcW w:w="1107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1000</w:t>
            </w:r>
          </w:p>
        </w:tc>
        <w:tc>
          <w:tcPr>
            <w:tcW w:w="1332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1000</w:t>
            </w:r>
          </w:p>
        </w:tc>
        <w:tc>
          <w:tcPr>
            <w:tcW w:w="1249" w:type="dxa"/>
          </w:tcPr>
          <w:p w:rsidR="008E5664" w:rsidRPr="00AC09CF" w:rsidRDefault="002F013F" w:rsidP="008E5664">
            <w:pPr>
              <w:widowControl w:val="0"/>
              <w:autoSpaceDE w:val="0"/>
              <w:autoSpaceDN w:val="0"/>
              <w:jc w:val="center"/>
            </w:pPr>
            <w:r>
              <w:t>1 900,00</w:t>
            </w:r>
          </w:p>
        </w:tc>
        <w:tc>
          <w:tcPr>
            <w:tcW w:w="1338" w:type="dxa"/>
          </w:tcPr>
          <w:p w:rsidR="008E5664" w:rsidRPr="00AC09CF" w:rsidRDefault="002F013F" w:rsidP="008E5664">
            <w:pPr>
              <w:widowControl w:val="0"/>
              <w:autoSpaceDE w:val="0"/>
              <w:autoSpaceDN w:val="0"/>
              <w:jc w:val="center"/>
            </w:pPr>
            <w:r>
              <w:t>1 900,00</w:t>
            </w:r>
          </w:p>
        </w:tc>
        <w:tc>
          <w:tcPr>
            <w:tcW w:w="1267" w:type="dxa"/>
          </w:tcPr>
          <w:p w:rsidR="008E5664" w:rsidRPr="00AC09CF" w:rsidRDefault="002F013F" w:rsidP="008E5664">
            <w:pPr>
              <w:widowControl w:val="0"/>
              <w:autoSpaceDE w:val="0"/>
              <w:autoSpaceDN w:val="0"/>
              <w:jc w:val="center"/>
            </w:pPr>
            <w:r>
              <w:t>1 900,00</w:t>
            </w:r>
          </w:p>
        </w:tc>
      </w:tr>
    </w:tbl>
    <w:p w:rsidR="008E5664" w:rsidRPr="000205E7" w:rsidRDefault="008E5664" w:rsidP="008E5664">
      <w:pPr>
        <w:widowControl w:val="0"/>
        <w:autoSpaceDE w:val="0"/>
        <w:autoSpaceDN w:val="0"/>
        <w:jc w:val="both"/>
      </w:pPr>
      <w:r w:rsidRPr="000205E7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(в %) 10.</w:t>
      </w:r>
    </w:p>
    <w:p w:rsidR="008E5664" w:rsidRPr="00F90603" w:rsidRDefault="008E5664" w:rsidP="008E5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1) Формируется при установлении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90603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 (услуг), выполнение работы (работ) и содержит требования к оказанию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 (услуг), выполнению работы (работ) раздельно по каждой из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 (работ) с указанием порядкового номера раздела.</w:t>
      </w:r>
    </w:p>
    <w:p w:rsidR="008E5664" w:rsidRPr="00F90603" w:rsidRDefault="008E5664" w:rsidP="008E5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2) Заполняется при установлении показателей,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услуги (работы), в ведомственном перечне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F90603">
        <w:rPr>
          <w:rFonts w:ascii="Times New Roman" w:hAnsi="Times New Roman" w:cs="Times New Roman"/>
          <w:sz w:val="24"/>
          <w:szCs w:val="24"/>
        </w:rPr>
        <w:t xml:space="preserve"> услуг и работ.</w:t>
      </w:r>
    </w:p>
    <w:p w:rsidR="008E5664" w:rsidRPr="00F90603" w:rsidRDefault="001B0F36" w:rsidP="008E56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427" w:history="1">
        <w:r w:rsidR="008E5664" w:rsidRPr="00F90603">
          <w:rPr>
            <w:rFonts w:ascii="Times New Roman" w:hAnsi="Times New Roman" w:cs="Times New Roman"/>
            <w:color w:val="0000FF"/>
            <w:sz w:val="24"/>
            <w:szCs w:val="24"/>
          </w:rPr>
          <w:t>1)</w:t>
        </w:r>
      </w:hyperlink>
    </w:p>
    <w:p w:rsidR="008E5664" w:rsidRPr="0099506F" w:rsidRDefault="008E5664" w:rsidP="008E56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06F">
        <w:rPr>
          <w:rFonts w:ascii="Times New Roman" w:hAnsi="Times New Roman" w:cs="Times New Roman"/>
          <w:b/>
          <w:sz w:val="24"/>
          <w:szCs w:val="24"/>
        </w:rPr>
        <w:t>ЧАСТЬ 3. Прочие сведения о муниципальном задании</w:t>
      </w:r>
    </w:p>
    <w:p w:rsidR="008E5664" w:rsidRPr="0099506F" w:rsidRDefault="008E5664" w:rsidP="008E566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664" w:rsidRPr="00F90603" w:rsidRDefault="008E5664" w:rsidP="008E5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1. Порядок </w:t>
      </w:r>
      <w:proofErr w:type="gramStart"/>
      <w:r w:rsidRPr="00F9060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90603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90603">
        <w:rPr>
          <w:rFonts w:ascii="Times New Roman" w:hAnsi="Times New Roman" w:cs="Times New Roman"/>
          <w:sz w:val="24"/>
          <w:szCs w:val="24"/>
        </w:rPr>
        <w:t>задания</w:t>
      </w:r>
    </w:p>
    <w:p w:rsidR="008E5664" w:rsidRPr="00F90603" w:rsidRDefault="008E5664" w:rsidP="008E5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8"/>
        <w:gridCol w:w="3420"/>
        <w:gridCol w:w="7488"/>
      </w:tblGrid>
      <w:tr w:rsidR="008E5664" w:rsidRPr="00D36150" w:rsidTr="008E5664">
        <w:tc>
          <w:tcPr>
            <w:tcW w:w="4495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Формы контроля</w:t>
            </w:r>
          </w:p>
        </w:tc>
        <w:tc>
          <w:tcPr>
            <w:tcW w:w="3198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Периодичность</w:t>
            </w:r>
          </w:p>
        </w:tc>
        <w:tc>
          <w:tcPr>
            <w:tcW w:w="7001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 xml:space="preserve">Исполнительные органы муниципальной власти, осуществляющие </w:t>
            </w:r>
            <w:proofErr w:type="gramStart"/>
            <w:r w:rsidRPr="00D36150">
              <w:t>контроль за</w:t>
            </w:r>
            <w:proofErr w:type="gramEnd"/>
            <w:r w:rsidRPr="00D36150">
              <w:t xml:space="preserve"> оказанием услуги</w:t>
            </w:r>
          </w:p>
        </w:tc>
      </w:tr>
      <w:tr w:rsidR="008E5664" w:rsidRPr="00D36150" w:rsidTr="008E5664">
        <w:tc>
          <w:tcPr>
            <w:tcW w:w="4495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1</w:t>
            </w:r>
          </w:p>
        </w:tc>
        <w:tc>
          <w:tcPr>
            <w:tcW w:w="3198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2</w:t>
            </w:r>
          </w:p>
        </w:tc>
        <w:tc>
          <w:tcPr>
            <w:tcW w:w="7001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jc w:val="center"/>
            </w:pPr>
            <w:r w:rsidRPr="00D36150">
              <w:t>3</w:t>
            </w:r>
          </w:p>
        </w:tc>
      </w:tr>
      <w:tr w:rsidR="008E5664" w:rsidRPr="00D36150" w:rsidTr="008E5664">
        <w:tc>
          <w:tcPr>
            <w:tcW w:w="4495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ind w:left="540"/>
              <w:jc w:val="both"/>
            </w:pPr>
            <w:r w:rsidRPr="00D36150">
              <w:t>Плановая проверка</w:t>
            </w:r>
          </w:p>
        </w:tc>
        <w:tc>
          <w:tcPr>
            <w:tcW w:w="3198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ind w:left="540"/>
              <w:jc w:val="both"/>
            </w:pPr>
            <w:r w:rsidRPr="00D36150">
              <w:t>Один раз в год</w:t>
            </w:r>
          </w:p>
        </w:tc>
        <w:tc>
          <w:tcPr>
            <w:tcW w:w="7001" w:type="dxa"/>
          </w:tcPr>
          <w:p w:rsidR="008E5664" w:rsidRPr="00D36150" w:rsidRDefault="008E5664" w:rsidP="008E5664">
            <w:pPr>
              <w:widowControl w:val="0"/>
              <w:autoSpaceDE w:val="0"/>
              <w:autoSpaceDN w:val="0"/>
              <w:ind w:left="540"/>
              <w:jc w:val="both"/>
            </w:pPr>
            <w:r w:rsidRPr="00D36150">
              <w:t xml:space="preserve">Отдел образования администрации </w:t>
            </w:r>
            <w:proofErr w:type="spellStart"/>
            <w:r w:rsidRPr="00D36150">
              <w:t>Пестяковского</w:t>
            </w:r>
            <w:proofErr w:type="spellEnd"/>
            <w:r w:rsidRPr="00D36150">
              <w:t xml:space="preserve"> муниципального района</w:t>
            </w:r>
          </w:p>
        </w:tc>
      </w:tr>
    </w:tbl>
    <w:p w:rsidR="008E5664" w:rsidRPr="005360EF" w:rsidRDefault="008E5664" w:rsidP="008E56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 xml:space="preserve">2.  Основания </w:t>
      </w:r>
      <w:proofErr w:type="spellStart"/>
      <w:r w:rsidRPr="00F90603">
        <w:rPr>
          <w:rFonts w:ascii="Times New Roman" w:hAnsi="Times New Roman" w:cs="Times New Roman"/>
          <w:sz w:val="24"/>
          <w:szCs w:val="24"/>
        </w:rPr>
        <w:t>длядосрочного</w:t>
      </w:r>
      <w:proofErr w:type="spellEnd"/>
      <w:r w:rsidRPr="00F90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03">
        <w:rPr>
          <w:rFonts w:ascii="Times New Roman" w:hAnsi="Times New Roman" w:cs="Times New Roman"/>
          <w:sz w:val="24"/>
          <w:szCs w:val="24"/>
        </w:rPr>
        <w:t>прекращенияисполнения</w:t>
      </w:r>
      <w:proofErr w:type="spellEnd"/>
      <w:r w:rsidRPr="00F90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03">
        <w:rPr>
          <w:rFonts w:ascii="Times New Roman" w:hAnsi="Times New Roman" w:cs="Times New Roman"/>
          <w:sz w:val="24"/>
          <w:szCs w:val="24"/>
        </w:rPr>
        <w:t>муниципальногозадания</w:t>
      </w:r>
      <w:proofErr w:type="spellEnd"/>
      <w:r w:rsidRPr="00F90603">
        <w:rPr>
          <w:rFonts w:ascii="Times New Roman" w:hAnsi="Times New Roman" w:cs="Times New Roman"/>
          <w:sz w:val="24"/>
          <w:szCs w:val="24"/>
        </w:rPr>
        <w:t>:</w:t>
      </w:r>
    </w:p>
    <w:p w:rsidR="008E5664" w:rsidRPr="000205E7" w:rsidRDefault="008E5664" w:rsidP="008E5664">
      <w:pPr>
        <w:widowControl w:val="0"/>
        <w:autoSpaceDE w:val="0"/>
        <w:autoSpaceDN w:val="0"/>
        <w:jc w:val="both"/>
      </w:pPr>
      <w:r w:rsidRPr="000205E7">
        <w:rPr>
          <w:u w:val="single"/>
        </w:rPr>
        <w:t xml:space="preserve">Пункт 3.2. раздела 3 приложения 2 к постановлению администрации </w:t>
      </w:r>
      <w:proofErr w:type="spellStart"/>
      <w:r w:rsidRPr="000205E7">
        <w:rPr>
          <w:u w:val="single"/>
        </w:rPr>
        <w:t>Пестяковского</w:t>
      </w:r>
      <w:proofErr w:type="spellEnd"/>
      <w:r w:rsidRPr="000205E7">
        <w:rPr>
          <w:u w:val="single"/>
        </w:rPr>
        <w:t xml:space="preserve"> муниципального района от 17.09.2013 г. № 333 « О переходе к формированию бюджета </w:t>
      </w:r>
      <w:proofErr w:type="spellStart"/>
      <w:r w:rsidRPr="000205E7">
        <w:rPr>
          <w:u w:val="single"/>
        </w:rPr>
        <w:t>Пестяковского</w:t>
      </w:r>
      <w:proofErr w:type="spellEnd"/>
      <w:r w:rsidRPr="000205E7">
        <w:rPr>
          <w:u w:val="single"/>
        </w:rPr>
        <w:t xml:space="preserve"> муниципального района на основе муниципальных программ </w:t>
      </w:r>
      <w:proofErr w:type="spellStart"/>
      <w:r w:rsidRPr="000205E7">
        <w:rPr>
          <w:u w:val="single"/>
        </w:rPr>
        <w:t>Пестяковского</w:t>
      </w:r>
      <w:proofErr w:type="spellEnd"/>
      <w:r w:rsidRPr="000205E7">
        <w:rPr>
          <w:u w:val="single"/>
        </w:rPr>
        <w:t xml:space="preserve"> муниципального района»</w:t>
      </w:r>
    </w:p>
    <w:p w:rsidR="008E5664" w:rsidRPr="000205E7" w:rsidRDefault="008E5664" w:rsidP="008E5664">
      <w:pPr>
        <w:widowControl w:val="0"/>
        <w:autoSpaceDE w:val="0"/>
        <w:autoSpaceDN w:val="0"/>
        <w:jc w:val="both"/>
      </w:pPr>
      <w:r w:rsidRPr="000205E7">
        <w:t>3. Требования к отчетности об исполнении муниципального задания</w:t>
      </w:r>
    </w:p>
    <w:p w:rsidR="008E5664" w:rsidRPr="000205E7" w:rsidRDefault="008E5664" w:rsidP="008E5664">
      <w:pPr>
        <w:widowControl w:val="0"/>
        <w:autoSpaceDE w:val="0"/>
        <w:autoSpaceDN w:val="0"/>
        <w:jc w:val="both"/>
        <w:rPr>
          <w:u w:val="single"/>
        </w:rPr>
      </w:pPr>
      <w:r w:rsidRPr="000205E7">
        <w:rPr>
          <w:u w:val="single"/>
        </w:rPr>
        <w:t xml:space="preserve">Отчетность об исполнении муниципального задания формируется в соответствии в соответствии с приложением 2 к постановлению администрации </w:t>
      </w:r>
      <w:proofErr w:type="spellStart"/>
      <w:r w:rsidRPr="000205E7">
        <w:rPr>
          <w:u w:val="single"/>
        </w:rPr>
        <w:t>Пестяковского</w:t>
      </w:r>
      <w:proofErr w:type="spellEnd"/>
      <w:r w:rsidRPr="000205E7">
        <w:rPr>
          <w:u w:val="single"/>
        </w:rPr>
        <w:t xml:space="preserve"> муниципального района от 08.09.2015 г. № 257 «Об утверждении порядка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0205E7">
        <w:rPr>
          <w:u w:val="single"/>
        </w:rPr>
        <w:t>Пестяковского</w:t>
      </w:r>
      <w:proofErr w:type="spellEnd"/>
      <w:r w:rsidRPr="000205E7">
        <w:rPr>
          <w:u w:val="single"/>
        </w:rPr>
        <w:t xml:space="preserve"> муниципального района и финансового обеспечения выполнения муниципального задания»</w:t>
      </w:r>
    </w:p>
    <w:p w:rsidR="008E5664" w:rsidRPr="000205E7" w:rsidRDefault="008E5664" w:rsidP="008E5664">
      <w:pPr>
        <w:widowControl w:val="0"/>
        <w:autoSpaceDE w:val="0"/>
        <w:autoSpaceDN w:val="0"/>
      </w:pPr>
      <w:r w:rsidRPr="000205E7">
        <w:t xml:space="preserve">3.1.  Периодичность представления отчетов об исполнении муниципального задания </w:t>
      </w:r>
      <w:r w:rsidRPr="000205E7">
        <w:rPr>
          <w:u w:val="single"/>
        </w:rPr>
        <w:t>один раз в квартал</w:t>
      </w:r>
    </w:p>
    <w:p w:rsidR="008E5664" w:rsidRPr="000205E7" w:rsidRDefault="008E5664" w:rsidP="008E5664">
      <w:pPr>
        <w:widowControl w:val="0"/>
        <w:autoSpaceDE w:val="0"/>
        <w:autoSpaceDN w:val="0"/>
        <w:jc w:val="both"/>
      </w:pPr>
      <w:r w:rsidRPr="000205E7">
        <w:t>3.2. Сроки представления отчетов об исполнении муниципального задания</w:t>
      </w:r>
    </w:p>
    <w:p w:rsidR="008E5664" w:rsidRPr="000205E7" w:rsidRDefault="008E5664" w:rsidP="008E5664">
      <w:pPr>
        <w:widowControl w:val="0"/>
        <w:autoSpaceDE w:val="0"/>
        <w:autoSpaceDN w:val="0"/>
        <w:jc w:val="both"/>
        <w:rPr>
          <w:u w:val="single"/>
        </w:rPr>
      </w:pPr>
      <w:r w:rsidRPr="000205E7">
        <w:rPr>
          <w:u w:val="single"/>
        </w:rPr>
        <w:t xml:space="preserve">до </w:t>
      </w:r>
      <w:r>
        <w:rPr>
          <w:u w:val="single"/>
        </w:rPr>
        <w:t>25 числа следующего отчетного периода</w:t>
      </w:r>
    </w:p>
    <w:p w:rsidR="008E5664" w:rsidRPr="000205E7" w:rsidRDefault="008E5664" w:rsidP="008E5664">
      <w:pPr>
        <w:widowControl w:val="0"/>
        <w:autoSpaceDE w:val="0"/>
        <w:autoSpaceDN w:val="0"/>
        <w:jc w:val="both"/>
      </w:pPr>
      <w:r w:rsidRPr="000205E7">
        <w:t>3.3. Иные требования к отчетности об исполнении муниципального задания</w:t>
      </w:r>
    </w:p>
    <w:p w:rsidR="008E5664" w:rsidRDefault="008E5664" w:rsidP="008E56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0603">
        <w:rPr>
          <w:rFonts w:ascii="Times New Roman" w:hAnsi="Times New Roman" w:cs="Times New Roman"/>
          <w:sz w:val="24"/>
          <w:szCs w:val="24"/>
        </w:rPr>
        <w:t>4. Иные показатели, связанные с выполнением муниципального задания</w:t>
      </w:r>
    </w:p>
    <w:p w:rsidR="008E5664" w:rsidRPr="005360EF" w:rsidRDefault="008E5664" w:rsidP="008E56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05E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</w:p>
    <w:p w:rsidR="008E5664" w:rsidRPr="000205E7" w:rsidRDefault="008E5664" w:rsidP="008E5664">
      <w:pPr>
        <w:widowControl w:val="0"/>
        <w:autoSpaceDE w:val="0"/>
        <w:autoSpaceDN w:val="0"/>
        <w:jc w:val="both"/>
      </w:pPr>
      <w:r w:rsidRPr="000205E7">
        <w:t xml:space="preserve">    1. Заполняется в целом по заданию.</w:t>
      </w:r>
    </w:p>
    <w:p w:rsidR="008E5664" w:rsidRPr="0002699E" w:rsidRDefault="008E5664" w:rsidP="008E5664">
      <w:pPr>
        <w:widowControl w:val="0"/>
        <w:autoSpaceDE w:val="0"/>
        <w:autoSpaceDN w:val="0"/>
        <w:jc w:val="both"/>
      </w:pPr>
      <w:r w:rsidRPr="000205E7">
        <w:t xml:space="preserve">    2. </w:t>
      </w:r>
      <w:proofErr w:type="gramStart"/>
      <w:r w:rsidRPr="000205E7">
        <w:t xml:space="preserve"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 </w:t>
      </w:r>
      <w:proofErr w:type="spellStart"/>
      <w:r w:rsidRPr="000205E7">
        <w:t>Пестяковского</w:t>
      </w:r>
      <w:proofErr w:type="spellEnd"/>
      <w:r w:rsidRPr="000205E7">
        <w:t xml:space="preserve"> муниципального района, главным распорядителем средств бюджета </w:t>
      </w:r>
      <w:proofErr w:type="spellStart"/>
      <w:r w:rsidRPr="000205E7">
        <w:t>Пестяковского</w:t>
      </w:r>
      <w:proofErr w:type="spellEnd"/>
      <w:r w:rsidRPr="000205E7">
        <w:t xml:space="preserve"> муниципального района, введении которого находятся муниципальные казенные учреждения </w:t>
      </w:r>
      <w:proofErr w:type="spellStart"/>
      <w:r w:rsidRPr="000205E7">
        <w:t>Пестяковского</w:t>
      </w:r>
      <w:proofErr w:type="spellEnd"/>
      <w:r w:rsidRPr="000205E7">
        <w:t xml:space="preserve"> муниципального района, решения об установлении общего допустимого (возможного) отклонения от</w:t>
      </w:r>
      <w:proofErr w:type="gramEnd"/>
      <w:r w:rsidRPr="000205E7">
        <w:t xml:space="preserve"> выполнения муниципального задания, в пределах которого оно считается выполненным (</w:t>
      </w:r>
      <w:proofErr w:type="gramStart"/>
      <w:r w:rsidRPr="000205E7">
        <w:t>в</w:t>
      </w:r>
      <w:proofErr w:type="gramEnd"/>
      <w:r w:rsidRPr="000205E7">
        <w:t xml:space="preserve"> %).  В этом случае допустимые (возможные) отклонения, предусмотренные в </w:t>
      </w:r>
      <w:hyperlink w:anchor="P553" w:history="1">
        <w:r w:rsidRPr="009A5E16">
          <w:t>пунктах 3.1</w:t>
        </w:r>
      </w:hyperlink>
      <w:r w:rsidRPr="009A5E16">
        <w:t xml:space="preserve"> и </w:t>
      </w:r>
      <w:hyperlink w:anchor="P555" w:history="1">
        <w:r w:rsidRPr="009A5E16">
          <w:t>3.2</w:t>
        </w:r>
      </w:hyperlink>
      <w:r w:rsidRPr="000205E7">
        <w:t>настоящего муниципального задания, не заполняются.</w:t>
      </w:r>
    </w:p>
    <w:p w:rsidR="008E5664" w:rsidRDefault="008E5664" w:rsidP="008E5664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E5664" w:rsidRDefault="008E5664" w:rsidP="008E5664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E5664" w:rsidRDefault="008E5664" w:rsidP="008E5664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E5664" w:rsidRDefault="008E5664" w:rsidP="008E5664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E5664" w:rsidRDefault="008E5664" w:rsidP="008E5664">
      <w:pPr>
        <w:widowControl w:val="0"/>
        <w:autoSpaceDE w:val="0"/>
        <w:autoSpaceDN w:val="0"/>
        <w:jc w:val="right"/>
        <w:rPr>
          <w:sz w:val="22"/>
          <w:szCs w:val="22"/>
        </w:rPr>
      </w:pPr>
    </w:p>
    <w:sectPr w:rsidR="008E5664" w:rsidSect="008E5664">
      <w:pgSz w:w="16834" w:h="11909" w:orient="landscape"/>
      <w:pgMar w:top="851" w:right="391" w:bottom="709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40A9"/>
    <w:multiLevelType w:val="multilevel"/>
    <w:tmpl w:val="92569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80B0AD0"/>
    <w:multiLevelType w:val="multilevel"/>
    <w:tmpl w:val="DECA68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38F5579"/>
    <w:multiLevelType w:val="multilevel"/>
    <w:tmpl w:val="F34E7C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64"/>
    <w:rsid w:val="001B0F36"/>
    <w:rsid w:val="001C1D73"/>
    <w:rsid w:val="001E00DB"/>
    <w:rsid w:val="00290289"/>
    <w:rsid w:val="002F013F"/>
    <w:rsid w:val="003D707F"/>
    <w:rsid w:val="0056455B"/>
    <w:rsid w:val="006B2995"/>
    <w:rsid w:val="0070014B"/>
    <w:rsid w:val="007937F9"/>
    <w:rsid w:val="008E5664"/>
    <w:rsid w:val="009B42C5"/>
    <w:rsid w:val="00AC09CF"/>
    <w:rsid w:val="00CD5977"/>
    <w:rsid w:val="00E451FD"/>
    <w:rsid w:val="00E96500"/>
    <w:rsid w:val="00F84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8E56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E56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5664"/>
    <w:pPr>
      <w:ind w:left="720"/>
      <w:contextualSpacing/>
    </w:pPr>
  </w:style>
  <w:style w:type="paragraph" w:customStyle="1" w:styleId="ConsPlusNormal">
    <w:name w:val="ConsPlusNormal"/>
    <w:rsid w:val="008E5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56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8E5664"/>
    <w:rPr>
      <w:rFonts w:ascii="Calibri" w:hAnsi="Calibri"/>
    </w:rPr>
  </w:style>
  <w:style w:type="paragraph" w:styleId="a7">
    <w:name w:val="header"/>
    <w:basedOn w:val="a"/>
    <w:link w:val="a6"/>
    <w:uiPriority w:val="99"/>
    <w:unhideWhenUsed/>
    <w:rsid w:val="008E5664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8E56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8E5664"/>
    <w:rPr>
      <w:rFonts w:ascii="Calibri" w:hAnsi="Calibri"/>
    </w:rPr>
  </w:style>
  <w:style w:type="paragraph" w:styleId="a9">
    <w:name w:val="footer"/>
    <w:basedOn w:val="a"/>
    <w:link w:val="a8"/>
    <w:uiPriority w:val="99"/>
    <w:unhideWhenUsed/>
    <w:rsid w:val="008E5664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8E56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E5664"/>
    <w:rPr>
      <w:color w:val="0000FF"/>
      <w:u w:val="single"/>
    </w:rPr>
  </w:style>
  <w:style w:type="character" w:customStyle="1" w:styleId="padding-left-10">
    <w:name w:val="padding-left-10"/>
    <w:basedOn w:val="a0"/>
    <w:rsid w:val="008E5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8E56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E56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5664"/>
    <w:pPr>
      <w:ind w:left="720"/>
      <w:contextualSpacing/>
    </w:pPr>
  </w:style>
  <w:style w:type="paragraph" w:customStyle="1" w:styleId="ConsPlusNormal">
    <w:name w:val="ConsPlusNormal"/>
    <w:rsid w:val="008E5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56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8E5664"/>
    <w:rPr>
      <w:rFonts w:ascii="Calibri" w:hAnsi="Calibri"/>
    </w:rPr>
  </w:style>
  <w:style w:type="paragraph" w:styleId="a7">
    <w:name w:val="header"/>
    <w:basedOn w:val="a"/>
    <w:link w:val="a6"/>
    <w:uiPriority w:val="99"/>
    <w:unhideWhenUsed/>
    <w:rsid w:val="008E5664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8E56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8E5664"/>
    <w:rPr>
      <w:rFonts w:ascii="Calibri" w:hAnsi="Calibri"/>
    </w:rPr>
  </w:style>
  <w:style w:type="paragraph" w:styleId="a9">
    <w:name w:val="footer"/>
    <w:basedOn w:val="a"/>
    <w:link w:val="a8"/>
    <w:uiPriority w:val="99"/>
    <w:unhideWhenUsed/>
    <w:rsid w:val="008E5664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8E56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E5664"/>
    <w:rPr>
      <w:color w:val="0000FF"/>
      <w:u w:val="single"/>
    </w:rPr>
  </w:style>
  <w:style w:type="character" w:customStyle="1" w:styleId="padding-left-10">
    <w:name w:val="padding-left-10"/>
    <w:basedOn w:val="a0"/>
    <w:rsid w:val="008E5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8EB9BBC46AC6B01A944807F4BA78AF2C2B63B3EA0A37237C4AB1F185KFdB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78EB9BBC46AC6B01A944807F4BA78AF2C2B63B3EA0A37237C4AB1F185KFd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dcterms:created xsi:type="dcterms:W3CDTF">2022-02-11T06:22:00Z</dcterms:created>
  <dcterms:modified xsi:type="dcterms:W3CDTF">2022-02-21T11:15:00Z</dcterms:modified>
</cp:coreProperties>
</file>