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29" w:rsidRPr="00876E6F" w:rsidRDefault="0087066C" w:rsidP="00576A85">
      <w:pPr>
        <w:tabs>
          <w:tab w:val="left" w:pos="7110"/>
        </w:tabs>
        <w:spacing w:after="120"/>
        <w:jc w:val="right"/>
        <w:rPr>
          <w:b/>
        </w:rPr>
      </w:pPr>
      <w:bookmarkStart w:id="0" w:name="_GoBack"/>
      <w:bookmarkEnd w:id="0"/>
      <w:r>
        <w:rPr>
          <w:b/>
        </w:rPr>
        <w:t>06</w:t>
      </w:r>
      <w:r w:rsidR="006D214C" w:rsidRPr="00876E6F">
        <w:rPr>
          <w:b/>
        </w:rPr>
        <w:t>.</w:t>
      </w:r>
      <w:r>
        <w:rPr>
          <w:b/>
        </w:rPr>
        <w:t>09</w:t>
      </w:r>
      <w:r w:rsidR="003245ED">
        <w:rPr>
          <w:b/>
        </w:rPr>
        <w:t>.2021</w:t>
      </w:r>
      <w:r w:rsidR="006D214C" w:rsidRPr="00876E6F">
        <w:rPr>
          <w:b/>
        </w:rPr>
        <w:t xml:space="preserve"> г. </w:t>
      </w:r>
    </w:p>
    <w:p w:rsidR="00733D49" w:rsidRDefault="007E4E1E" w:rsidP="00733D49">
      <w:pPr>
        <w:contextualSpacing/>
        <w:jc w:val="center"/>
        <w:rPr>
          <w:b/>
          <w:iCs/>
        </w:rPr>
      </w:pPr>
      <w:r>
        <w:rPr>
          <w:b/>
          <w:iCs/>
        </w:rPr>
        <w:t xml:space="preserve">Евразия ищет таланты: старшеклассников </w:t>
      </w:r>
      <w:r w:rsidR="008B0675">
        <w:rPr>
          <w:b/>
          <w:iCs/>
        </w:rPr>
        <w:t xml:space="preserve">Ивановской </w:t>
      </w:r>
      <w:r w:rsidR="00502C2B">
        <w:rPr>
          <w:b/>
          <w:iCs/>
        </w:rPr>
        <w:t>области</w:t>
      </w:r>
      <w:r w:rsidR="00B02D2B">
        <w:rPr>
          <w:b/>
          <w:iCs/>
        </w:rPr>
        <w:t xml:space="preserve"> </w:t>
      </w:r>
      <w:r w:rsidR="00733D49">
        <w:rPr>
          <w:b/>
          <w:iCs/>
        </w:rPr>
        <w:t xml:space="preserve">приглашают </w:t>
      </w:r>
      <w:r w:rsidR="000429BE">
        <w:rPr>
          <w:b/>
          <w:iCs/>
        </w:rPr>
        <w:t>принять участие</w:t>
      </w:r>
      <w:r w:rsidR="00733D49">
        <w:rPr>
          <w:b/>
          <w:iCs/>
        </w:rPr>
        <w:t xml:space="preserve"> </w:t>
      </w:r>
    </w:p>
    <w:p w:rsidR="00E708AC" w:rsidRDefault="000429BE" w:rsidP="00733D49">
      <w:pPr>
        <w:jc w:val="center"/>
        <w:rPr>
          <w:b/>
          <w:iCs/>
        </w:rPr>
      </w:pPr>
      <w:r>
        <w:rPr>
          <w:b/>
          <w:iCs/>
        </w:rPr>
        <w:t>в</w:t>
      </w:r>
      <w:r w:rsidR="00A83B49">
        <w:rPr>
          <w:b/>
          <w:iCs/>
        </w:rPr>
        <w:t xml:space="preserve"> </w:t>
      </w:r>
      <w:r w:rsidR="00E708AC" w:rsidRPr="00E708AC">
        <w:rPr>
          <w:b/>
          <w:iCs/>
        </w:rPr>
        <w:t>VIII Международном конкурсе по математике «Я Решаю!»</w:t>
      </w:r>
    </w:p>
    <w:p w:rsidR="0087066C" w:rsidRPr="008C2830" w:rsidRDefault="0087066C" w:rsidP="0087066C">
      <w:pPr>
        <w:jc w:val="both"/>
        <w:rPr>
          <w:b/>
          <w:iCs/>
        </w:rPr>
      </w:pPr>
      <w:r>
        <w:rPr>
          <w:b/>
          <w:iCs/>
        </w:rPr>
        <w:t>Стартует</w:t>
      </w:r>
      <w:r w:rsidRPr="00210F62">
        <w:rPr>
          <w:b/>
          <w:iCs/>
        </w:rPr>
        <w:t xml:space="preserve"> VIII Международный конкурс по математике «Я </w:t>
      </w:r>
      <w:r>
        <w:rPr>
          <w:b/>
          <w:iCs/>
        </w:rPr>
        <w:t>Р</w:t>
      </w:r>
      <w:r w:rsidRPr="00210F62">
        <w:rPr>
          <w:b/>
          <w:iCs/>
        </w:rPr>
        <w:t xml:space="preserve">ешаю!», который ежегодно проводит для старшеклассников из нестоличных городов </w:t>
      </w:r>
      <w:r>
        <w:rPr>
          <w:b/>
          <w:iCs/>
        </w:rPr>
        <w:t xml:space="preserve">холдинг </w:t>
      </w:r>
      <w:r w:rsidRPr="00210F62">
        <w:rPr>
          <w:b/>
          <w:iCs/>
        </w:rPr>
        <w:t>GS Group. Первый отборочный онлайн-тур продлит</w:t>
      </w:r>
      <w:r>
        <w:rPr>
          <w:b/>
          <w:iCs/>
        </w:rPr>
        <w:t>ся до 8 ноября. В этом сезоне призовой фонд главной награды —</w:t>
      </w:r>
      <w:r w:rsidRPr="006A4771">
        <w:rPr>
          <w:b/>
          <w:iCs/>
        </w:rPr>
        <w:t xml:space="preserve"> именных годовых стипендий </w:t>
      </w:r>
      <w:r>
        <w:rPr>
          <w:b/>
          <w:iCs/>
        </w:rPr>
        <w:t>—</w:t>
      </w:r>
      <w:r w:rsidRPr="00D478F2">
        <w:rPr>
          <w:b/>
          <w:iCs/>
          <w:color w:val="FF0000"/>
        </w:rPr>
        <w:t xml:space="preserve"> </w:t>
      </w:r>
      <w:r>
        <w:rPr>
          <w:b/>
          <w:iCs/>
        </w:rPr>
        <w:t xml:space="preserve">увеличен почти в 1,5 раза. </w:t>
      </w:r>
      <w:r>
        <w:rPr>
          <w:rFonts w:ascii="Calibri" w:hAnsi="Calibri" w:cs="Calibri"/>
          <w:b/>
          <w:bCs/>
          <w:color w:val="212121"/>
          <w:shd w:val="clear" w:color="auto" w:fill="FFFFFF"/>
        </w:rPr>
        <w:t xml:space="preserve">Это значит, что каждый </w:t>
      </w:r>
      <w:r w:rsidRPr="000E46F5">
        <w:rPr>
          <w:rFonts w:ascii="Calibri" w:hAnsi="Calibri" w:cs="Calibri"/>
          <w:b/>
          <w:bCs/>
          <w:shd w:val="clear" w:color="auto" w:fill="FFFFFF"/>
        </w:rPr>
        <w:t>победитель из числа одиннадцатиклассников во время учебы на первом курсе вуза получит поддержку общей суммой порядка 100 тысяч рублей.</w:t>
      </w:r>
      <w:r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</w:p>
    <w:p w:rsidR="003D1E7C" w:rsidRDefault="00383D3A" w:rsidP="0087066C">
      <w:pPr>
        <w:jc w:val="both"/>
        <w:rPr>
          <w:iCs/>
          <w:highlight w:val="yellow"/>
        </w:rPr>
      </w:pPr>
      <w:r w:rsidRPr="00383D3A">
        <w:rPr>
          <w:iCs/>
        </w:rPr>
        <w:t>Свои силы в интеллектуальном соревновании могут испытать ученики 9—11-х классов со всей России (кроме Санкт-Петербурга и Москвы), а также стран ближнего и дальнего зарубежья. Традиционно состязание пройдет в три этапа: два онлайн-тура и финал. Участие в конкурсе абсолютно бесплатное.</w:t>
      </w:r>
      <w:r w:rsidR="00E708AC" w:rsidRPr="00E708AC">
        <w:rPr>
          <w:iCs/>
          <w:highlight w:val="yellow"/>
        </w:rPr>
        <w:t xml:space="preserve"> </w:t>
      </w:r>
    </w:p>
    <w:p w:rsidR="00B358C2" w:rsidRDefault="006A5EE1" w:rsidP="0087066C">
      <w:pPr>
        <w:jc w:val="both"/>
        <w:rPr>
          <w:iCs/>
        </w:rPr>
      </w:pPr>
      <w:r>
        <w:rPr>
          <w:iCs/>
        </w:rPr>
        <w:t xml:space="preserve">Старшеклассники </w:t>
      </w:r>
      <w:r w:rsidR="00B358C2">
        <w:rPr>
          <w:iCs/>
        </w:rPr>
        <w:t>Ивановской</w:t>
      </w:r>
      <w:r w:rsidR="00502C2B">
        <w:rPr>
          <w:iCs/>
        </w:rPr>
        <w:t xml:space="preserve"> области</w:t>
      </w:r>
      <w:r>
        <w:rPr>
          <w:iCs/>
        </w:rPr>
        <w:t xml:space="preserve"> ежегодно принимают участие в «Я</w:t>
      </w:r>
      <w:r w:rsidR="007A0CEE">
        <w:rPr>
          <w:iCs/>
        </w:rPr>
        <w:t xml:space="preserve"> Решаю!»</w:t>
      </w:r>
      <w:r w:rsidR="00B358C2">
        <w:rPr>
          <w:iCs/>
        </w:rPr>
        <w:t xml:space="preserve">. </w:t>
      </w:r>
      <w:r w:rsidR="000A5665">
        <w:rPr>
          <w:iCs/>
        </w:rPr>
        <w:t>Так</w:t>
      </w:r>
      <w:r w:rsidR="00045DE5">
        <w:rPr>
          <w:iCs/>
        </w:rPr>
        <w:t>,</w:t>
      </w:r>
      <w:r w:rsidR="000A5665">
        <w:rPr>
          <w:iCs/>
        </w:rPr>
        <w:t xml:space="preserve"> </w:t>
      </w:r>
      <w:r w:rsidR="00B358C2">
        <w:rPr>
          <w:iCs/>
        </w:rPr>
        <w:t>в 2018 году ученик 9-го класса МБОУ</w:t>
      </w:r>
      <w:r w:rsidR="00B358C2" w:rsidRPr="00B358C2">
        <w:rPr>
          <w:iCs/>
        </w:rPr>
        <w:t xml:space="preserve"> </w:t>
      </w:r>
      <w:r w:rsidR="00B358C2">
        <w:rPr>
          <w:iCs/>
        </w:rPr>
        <w:t xml:space="preserve">«Лицей № </w:t>
      </w:r>
      <w:r w:rsidR="00B358C2" w:rsidRPr="00B358C2">
        <w:rPr>
          <w:iCs/>
        </w:rPr>
        <w:t>33</w:t>
      </w:r>
      <w:r w:rsidR="00B358C2">
        <w:rPr>
          <w:iCs/>
        </w:rPr>
        <w:t xml:space="preserve">» города Иваново Дмитрий Коньков стал одним из финалистов конкурса. </w:t>
      </w:r>
    </w:p>
    <w:p w:rsidR="0087066C" w:rsidRPr="00F20F6F" w:rsidRDefault="00DB7C72" w:rsidP="0087066C">
      <w:pPr>
        <w:jc w:val="both"/>
        <w:rPr>
          <w:iCs/>
        </w:rPr>
      </w:pPr>
      <w:r w:rsidRPr="00C522EA">
        <w:rPr>
          <w:iCs/>
        </w:rPr>
        <w:t xml:space="preserve">В этом году </w:t>
      </w:r>
      <w:r w:rsidR="0087066C" w:rsidRPr="00C522EA">
        <w:rPr>
          <w:iCs/>
        </w:rPr>
        <w:t xml:space="preserve">школьникам, желающим принять вызов царицы наук, необходимо </w:t>
      </w:r>
      <w:r w:rsidRPr="00C522EA">
        <w:rPr>
          <w:iCs/>
        </w:rPr>
        <w:t>до 8 ноября</w:t>
      </w:r>
      <w:r>
        <w:rPr>
          <w:iCs/>
        </w:rPr>
        <w:t xml:space="preserve"> </w:t>
      </w:r>
      <w:r w:rsidR="0087066C">
        <w:rPr>
          <w:iCs/>
        </w:rPr>
        <w:t xml:space="preserve">зарегистрироваться </w:t>
      </w:r>
      <w:hyperlink r:id="rId9" w:history="1">
        <w:r w:rsidR="0087066C" w:rsidRPr="00A44839">
          <w:rPr>
            <w:rStyle w:val="a9"/>
            <w:iCs/>
          </w:rPr>
          <w:t>на официальном сайте конкурса</w:t>
        </w:r>
      </w:hyperlink>
      <w:r w:rsidR="0087066C">
        <w:rPr>
          <w:iCs/>
        </w:rPr>
        <w:t xml:space="preserve"> и выполнить дистанционно задания первого этапа. Это 8 математических задач, которые необходимо решить за 1,5 часа. Ровно тысяча участников пройдет в следующий тур. Он продлится с 16 ноября по 1 декабря 2021 года,</w:t>
      </w:r>
      <w:r w:rsidR="0087066C" w:rsidRPr="00913BF4">
        <w:rPr>
          <w:iCs/>
        </w:rPr>
        <w:t xml:space="preserve"> по </w:t>
      </w:r>
      <w:r w:rsidR="0087066C">
        <w:rPr>
          <w:iCs/>
        </w:rPr>
        <w:t xml:space="preserve">его </w:t>
      </w:r>
      <w:r w:rsidR="0087066C" w:rsidRPr="00913BF4">
        <w:rPr>
          <w:iCs/>
        </w:rPr>
        <w:t xml:space="preserve">результатам </w:t>
      </w:r>
      <w:r w:rsidR="0087066C">
        <w:rPr>
          <w:iCs/>
        </w:rPr>
        <w:t xml:space="preserve">будут определены 30 финалистов. Заключительное состязание </w:t>
      </w:r>
      <w:r w:rsidR="0087066C" w:rsidRPr="00913BF4">
        <w:rPr>
          <w:iCs/>
        </w:rPr>
        <w:t xml:space="preserve">состоится </w:t>
      </w:r>
      <w:r w:rsidR="0087066C">
        <w:rPr>
          <w:iCs/>
        </w:rPr>
        <w:t xml:space="preserve">29 января 2022 года, а уже 30 января будут названы имена победителей </w:t>
      </w:r>
      <w:r w:rsidR="0087066C" w:rsidRPr="00B52CD9">
        <w:rPr>
          <w:iCs/>
        </w:rPr>
        <w:t>—</w:t>
      </w:r>
      <w:r w:rsidR="0087066C">
        <w:rPr>
          <w:iCs/>
        </w:rPr>
        <w:t xml:space="preserve"> ими станут десять ребят, набравшие наибольшее количество баллов. </w:t>
      </w:r>
    </w:p>
    <w:p w:rsidR="0087066C" w:rsidRDefault="0087066C" w:rsidP="0087066C">
      <w:pPr>
        <w:jc w:val="both"/>
        <w:rPr>
          <w:iCs/>
        </w:rPr>
      </w:pPr>
      <w:r w:rsidRPr="00B52CD9">
        <w:rPr>
          <w:iCs/>
        </w:rPr>
        <w:t xml:space="preserve">Главный приз конкурса «Я Решаю!» — это именные </w:t>
      </w:r>
      <w:r>
        <w:rPr>
          <w:iCs/>
        </w:rPr>
        <w:t xml:space="preserve">годовые </w:t>
      </w:r>
      <w:r w:rsidRPr="00B52CD9">
        <w:rPr>
          <w:iCs/>
        </w:rPr>
        <w:t xml:space="preserve">стипендии. Их </w:t>
      </w:r>
      <w:r>
        <w:rPr>
          <w:iCs/>
          <w:lang w:val="en-US"/>
        </w:rPr>
        <w:t>GS</w:t>
      </w:r>
      <w:r w:rsidRPr="00B52CD9">
        <w:rPr>
          <w:iCs/>
        </w:rPr>
        <w:t xml:space="preserve"> </w:t>
      </w:r>
      <w:r>
        <w:rPr>
          <w:iCs/>
          <w:lang w:val="en-US"/>
        </w:rPr>
        <w:t>Group</w:t>
      </w:r>
      <w:r w:rsidRPr="00B52CD9">
        <w:rPr>
          <w:iCs/>
        </w:rPr>
        <w:t xml:space="preserve"> будет выплачивать </w:t>
      </w:r>
      <w:r>
        <w:rPr>
          <w:iCs/>
        </w:rPr>
        <w:t xml:space="preserve">пяти </w:t>
      </w:r>
      <w:r w:rsidRPr="00B52CD9">
        <w:rPr>
          <w:iCs/>
        </w:rPr>
        <w:t xml:space="preserve">победившим одиннадцатиклассникам </w:t>
      </w:r>
      <w:r>
        <w:rPr>
          <w:iCs/>
        </w:rPr>
        <w:t xml:space="preserve">ежемесячно </w:t>
      </w:r>
      <w:r>
        <w:t xml:space="preserve">с сентября 2022 года по май 2023 года </w:t>
      </w:r>
      <w:r w:rsidRPr="00B52CD9">
        <w:rPr>
          <w:iCs/>
        </w:rPr>
        <w:t>при поступлени</w:t>
      </w:r>
      <w:r>
        <w:rPr>
          <w:iCs/>
        </w:rPr>
        <w:t>и</w:t>
      </w:r>
      <w:r w:rsidRPr="00B52CD9">
        <w:rPr>
          <w:iCs/>
        </w:rPr>
        <w:t xml:space="preserve"> в вуз </w:t>
      </w:r>
      <w:r w:rsidRPr="00955264">
        <w:rPr>
          <w:iCs/>
        </w:rPr>
        <w:t>на предусмотренные условиями конкурса технические специальности</w:t>
      </w:r>
      <w:r>
        <w:rPr>
          <w:iCs/>
        </w:rPr>
        <w:t xml:space="preserve">, востребованные на инновационных рынках России. Среди направлений </w:t>
      </w:r>
      <w:r w:rsidRPr="00B52CD9">
        <w:rPr>
          <w:iCs/>
        </w:rPr>
        <w:t>—</w:t>
      </w:r>
      <w:r>
        <w:rPr>
          <w:iCs/>
        </w:rPr>
        <w:t xml:space="preserve"> «</w:t>
      </w:r>
      <w:r w:rsidRPr="00B52CD9">
        <w:rPr>
          <w:iCs/>
        </w:rPr>
        <w:t xml:space="preserve">Информационные технологии», «Прикладные математика и физика», «Электроника и микроэлектроника», «Радиотехника», «Телекоммуникации», «Наноматериалы» и </w:t>
      </w:r>
      <w:r>
        <w:rPr>
          <w:iCs/>
        </w:rPr>
        <w:t xml:space="preserve">многие </w:t>
      </w:r>
      <w:r w:rsidRPr="00B52CD9">
        <w:rPr>
          <w:iCs/>
        </w:rPr>
        <w:t>другие.</w:t>
      </w:r>
      <w:r>
        <w:rPr>
          <w:iCs/>
        </w:rPr>
        <w:t xml:space="preserve"> </w:t>
      </w:r>
      <w:r w:rsidRPr="00B52CD9">
        <w:rPr>
          <w:iCs/>
        </w:rPr>
        <w:t xml:space="preserve">Победителям из числа учеников 9-х и 10-х классов предоставляется </w:t>
      </w:r>
      <w:r>
        <w:rPr>
          <w:iCs/>
        </w:rPr>
        <w:t xml:space="preserve">незаменимая в учебе электронная техника и </w:t>
      </w:r>
      <w:r w:rsidRPr="00B52CD9">
        <w:rPr>
          <w:iCs/>
        </w:rPr>
        <w:t>возможность без экзаменов поступить в Президентский физико-математический лицей №</w:t>
      </w:r>
      <w:r>
        <w:rPr>
          <w:iCs/>
        </w:rPr>
        <w:t> </w:t>
      </w:r>
      <w:r w:rsidRPr="00B52CD9">
        <w:rPr>
          <w:iCs/>
        </w:rPr>
        <w:t xml:space="preserve">239 в Санкт-Петербурге. </w:t>
      </w:r>
    </w:p>
    <w:p w:rsidR="0087066C" w:rsidRDefault="0087066C" w:rsidP="0087066C">
      <w:pPr>
        <w:jc w:val="both"/>
        <w:rPr>
          <w:iCs/>
        </w:rPr>
      </w:pPr>
      <w:r>
        <w:rPr>
          <w:iCs/>
        </w:rPr>
        <w:t>«</w:t>
      </w:r>
      <w:r w:rsidRPr="00EE3C9B">
        <w:rPr>
          <w:iCs/>
        </w:rPr>
        <w:t>Техническое образование открывает для молодежи широкие перспективы</w:t>
      </w:r>
      <w:r>
        <w:rPr>
          <w:iCs/>
        </w:rPr>
        <w:t xml:space="preserve"> трудоустройства в высокотехнологичные российские компании. </w:t>
      </w:r>
      <w:r w:rsidRPr="00EE3C9B">
        <w:rPr>
          <w:iCs/>
        </w:rPr>
        <w:t>Участие в нашем конкурсе может стать для старшеклассников</w:t>
      </w:r>
      <w:r>
        <w:rPr>
          <w:iCs/>
        </w:rPr>
        <w:t xml:space="preserve"> отличным</w:t>
      </w:r>
      <w:r w:rsidRPr="00EE3C9B">
        <w:rPr>
          <w:iCs/>
        </w:rPr>
        <w:t xml:space="preserve"> стимулом </w:t>
      </w:r>
      <w:r>
        <w:rPr>
          <w:iCs/>
        </w:rPr>
        <w:t>к</w:t>
      </w:r>
      <w:r w:rsidRPr="00EE3C9B">
        <w:rPr>
          <w:iCs/>
        </w:rPr>
        <w:t xml:space="preserve"> учебе и </w:t>
      </w:r>
      <w:r>
        <w:rPr>
          <w:iCs/>
        </w:rPr>
        <w:t xml:space="preserve">стартом для </w:t>
      </w:r>
      <w:r w:rsidRPr="00EE3C9B">
        <w:rPr>
          <w:iCs/>
        </w:rPr>
        <w:t>построени</w:t>
      </w:r>
      <w:r>
        <w:rPr>
          <w:iCs/>
        </w:rPr>
        <w:t>я</w:t>
      </w:r>
      <w:r w:rsidRPr="00EE3C9B">
        <w:rPr>
          <w:iCs/>
        </w:rPr>
        <w:t xml:space="preserve"> карьеры</w:t>
      </w:r>
      <w:r>
        <w:rPr>
          <w:iCs/>
        </w:rPr>
        <w:t xml:space="preserve">. В этом году мы порадуем самых старших конкурсантов. Размер именной стипендии для победителей среди одиннадцатиклассников увеличен до 15 000 рублей в месяц. Это отличная поддержка для студентов в первый год обучения в вузе, особенно для тех, кто уезжает в другой город и начинает самостоятельную жизнь. И, конечно, это подспорье для родителей выпускников, которым предстоит немало финансовых забот. </w:t>
      </w:r>
      <w:r w:rsidRPr="00915A23">
        <w:rPr>
          <w:iCs/>
        </w:rPr>
        <w:t>Мы хотим дать шанс раскрыть свой талант как можно большему числу школьников, увлеченных точными науками.</w:t>
      </w:r>
      <w:r>
        <w:rPr>
          <w:iCs/>
        </w:rPr>
        <w:t xml:space="preserve"> </w:t>
      </w:r>
      <w:r w:rsidRPr="00915A23">
        <w:rPr>
          <w:iCs/>
        </w:rPr>
        <w:t>Желаю всем плодотворной подготовки и отличных результатов</w:t>
      </w:r>
      <w:r>
        <w:rPr>
          <w:iCs/>
        </w:rPr>
        <w:t xml:space="preserve">», </w:t>
      </w:r>
      <w:r w:rsidRPr="00B52CD9">
        <w:rPr>
          <w:iCs/>
        </w:rPr>
        <w:t>—</w:t>
      </w:r>
      <w:r>
        <w:rPr>
          <w:iCs/>
        </w:rPr>
        <w:t xml:space="preserve"> отметила директор по стратегическим коммуникациям </w:t>
      </w:r>
      <w:r>
        <w:rPr>
          <w:iCs/>
          <w:lang w:val="en-US"/>
        </w:rPr>
        <w:t>GS</w:t>
      </w:r>
      <w:r w:rsidRPr="00915A23">
        <w:rPr>
          <w:iCs/>
        </w:rPr>
        <w:t xml:space="preserve"> </w:t>
      </w:r>
      <w:r>
        <w:rPr>
          <w:iCs/>
          <w:lang w:val="en-US"/>
        </w:rPr>
        <w:t>Group</w:t>
      </w:r>
      <w:r w:rsidRPr="00915A23">
        <w:rPr>
          <w:iCs/>
        </w:rPr>
        <w:t xml:space="preserve"> </w:t>
      </w:r>
      <w:r>
        <w:rPr>
          <w:iCs/>
        </w:rPr>
        <w:t>Екатерина Артемьева.</w:t>
      </w:r>
    </w:p>
    <w:p w:rsidR="0087066C" w:rsidRPr="007C7E2E" w:rsidRDefault="0087066C" w:rsidP="0087066C">
      <w:pPr>
        <w:jc w:val="both"/>
        <w:rPr>
          <w:iCs/>
        </w:rPr>
      </w:pPr>
      <w:r w:rsidRPr="007C7E2E">
        <w:rPr>
          <w:iCs/>
        </w:rPr>
        <w:t xml:space="preserve">В 2020 году интерес к соревнованию превзошел все ожидания. На конкурс зарегистрировались более 6000 учеников 9—11-х классов из 82 регионов Российской Федерации и 8 стран ближнего и дальнего зарубежья: Киргизии, Узбекистана, Белоруссии, Казахстана, Украины, Азербайджана, Туркменистана, Индии. </w:t>
      </w:r>
    </w:p>
    <w:p w:rsidR="0087066C" w:rsidRPr="00654264" w:rsidRDefault="0087066C" w:rsidP="0087066C">
      <w:pPr>
        <w:jc w:val="both"/>
        <w:rPr>
          <w:rFonts w:cstheme="minorHAnsi"/>
        </w:rPr>
      </w:pPr>
      <w:r>
        <w:rPr>
          <w:rFonts w:cstheme="minorHAnsi"/>
        </w:rPr>
        <w:lastRenderedPageBreak/>
        <w:t>Международный конкурс</w:t>
      </w:r>
      <w:r w:rsidRPr="007E6E81">
        <w:rPr>
          <w:rFonts w:cstheme="minorHAnsi"/>
        </w:rPr>
        <w:t xml:space="preserve"> </w:t>
      </w:r>
      <w:r>
        <w:rPr>
          <w:rFonts w:cstheme="minorHAnsi"/>
        </w:rPr>
        <w:t xml:space="preserve">по математике </w:t>
      </w:r>
      <w:r w:rsidRPr="007E6E81">
        <w:rPr>
          <w:rFonts w:cstheme="minorHAnsi"/>
        </w:rPr>
        <w:t xml:space="preserve">«Я Решаю!» </w:t>
      </w:r>
      <w:r>
        <w:rPr>
          <w:rFonts w:cstheme="minorHAnsi"/>
        </w:rPr>
        <w:t xml:space="preserve">— один </w:t>
      </w:r>
      <w:r w:rsidRPr="00663533">
        <w:rPr>
          <w:rFonts w:cstheme="minorHAnsi"/>
        </w:rPr>
        <w:t>из ключевых проектов образовательной программы инвестиционно-промышленного холдинга GS Group.</w:t>
      </w:r>
      <w:r>
        <w:rPr>
          <w:rFonts w:cstheme="minorHAnsi"/>
        </w:rPr>
        <w:t xml:space="preserve"> Он проводится с 2013 года и направлен на поиск и поддержку талантливых школьников из нестоличных городов, </w:t>
      </w:r>
      <w:r w:rsidRPr="00715EF6">
        <w:rPr>
          <w:rFonts w:cstheme="minorHAnsi"/>
        </w:rPr>
        <w:t>которым гораздо труднее реализовать весь свой</w:t>
      </w:r>
      <w:r>
        <w:rPr>
          <w:rFonts w:cstheme="minorHAnsi"/>
        </w:rPr>
        <w:t xml:space="preserve"> потенциал, чем их сверстникам из Москвы и Санкт-Петербурга</w:t>
      </w:r>
      <w:r w:rsidRPr="00715EF6">
        <w:rPr>
          <w:rFonts w:cstheme="minorHAnsi"/>
        </w:rPr>
        <w:t>.</w:t>
      </w:r>
      <w:r>
        <w:rPr>
          <w:rFonts w:cstheme="minorHAnsi"/>
        </w:rPr>
        <w:t xml:space="preserve"> Таким образом, конкурс становится</w:t>
      </w:r>
      <w:r w:rsidRPr="00281B74">
        <w:rPr>
          <w:rFonts w:cstheme="minorHAnsi"/>
        </w:rPr>
        <w:t xml:space="preserve"> </w:t>
      </w:r>
      <w:r>
        <w:rPr>
          <w:rFonts w:cstheme="minorHAnsi"/>
        </w:rPr>
        <w:t>социальным лифтом</w:t>
      </w:r>
      <w:r w:rsidRPr="00281B74">
        <w:rPr>
          <w:rFonts w:cstheme="minorHAnsi"/>
        </w:rPr>
        <w:t xml:space="preserve"> для школьников </w:t>
      </w:r>
      <w:r>
        <w:rPr>
          <w:rFonts w:cstheme="minorHAnsi"/>
        </w:rPr>
        <w:t>из всех уголков</w:t>
      </w:r>
      <w:r w:rsidRPr="00281B74">
        <w:rPr>
          <w:rFonts w:cstheme="minorHAnsi"/>
        </w:rPr>
        <w:t xml:space="preserve"> России</w:t>
      </w:r>
      <w:r>
        <w:rPr>
          <w:rFonts w:cstheme="minorHAnsi"/>
        </w:rPr>
        <w:t xml:space="preserve">. </w:t>
      </w:r>
      <w:r w:rsidRPr="00654264">
        <w:rPr>
          <w:rFonts w:cstheme="minorHAnsi"/>
        </w:rPr>
        <w:t>Конкурс содействует подготовке достойного кадрового резерва для высокотехнологичного сектора российской экономики и вносит свой вклад в популяризацию математических знаний и технического образования в молодежной среде.</w:t>
      </w:r>
    </w:p>
    <w:p w:rsidR="0087066C" w:rsidRPr="00281B74" w:rsidRDefault="0087066C" w:rsidP="0087066C">
      <w:pPr>
        <w:jc w:val="both"/>
        <w:rPr>
          <w:rFonts w:cstheme="minorHAnsi"/>
        </w:rPr>
      </w:pPr>
      <w:r>
        <w:rPr>
          <w:rFonts w:cstheme="minorHAnsi"/>
        </w:rPr>
        <w:t>За всю историю проведения «Я Решаю!»</w:t>
      </w:r>
      <w:r w:rsidRPr="007F7D74">
        <w:rPr>
          <w:rFonts w:cstheme="minorHAnsi"/>
        </w:rPr>
        <w:t xml:space="preserve"> </w:t>
      </w:r>
      <w:r>
        <w:rPr>
          <w:rFonts w:cstheme="minorHAnsi"/>
        </w:rPr>
        <w:t xml:space="preserve">его </w:t>
      </w:r>
      <w:r w:rsidRPr="007F7D74">
        <w:rPr>
          <w:rFonts w:cstheme="minorHAnsi"/>
        </w:rPr>
        <w:t xml:space="preserve">участниками стали свыше </w:t>
      </w:r>
      <w:r w:rsidRPr="009357D0">
        <w:rPr>
          <w:rFonts w:cstheme="minorHAnsi"/>
        </w:rPr>
        <w:t>29</w:t>
      </w:r>
      <w:r>
        <w:rPr>
          <w:rFonts w:cstheme="minorHAnsi"/>
        </w:rPr>
        <w:t> </w:t>
      </w:r>
      <w:r w:rsidRPr="009357D0">
        <w:rPr>
          <w:rFonts w:cstheme="minorHAnsi"/>
        </w:rPr>
        <w:t xml:space="preserve">000 </w:t>
      </w:r>
      <w:r w:rsidRPr="007F7D74">
        <w:rPr>
          <w:rFonts w:cstheme="minorHAnsi"/>
        </w:rPr>
        <w:t xml:space="preserve">школьников из всех регионов России и 17 стран Евразии. </w:t>
      </w:r>
      <w:r w:rsidRPr="009357D0">
        <w:rPr>
          <w:rFonts w:cstheme="minorHAnsi"/>
        </w:rPr>
        <w:t>27</w:t>
      </w:r>
      <w:r>
        <w:rPr>
          <w:rFonts w:cstheme="minorHAnsi"/>
        </w:rPr>
        <w:t xml:space="preserve"> победителей</w:t>
      </w:r>
      <w:r w:rsidRPr="007F7D74">
        <w:rPr>
          <w:rFonts w:cstheme="minorHAnsi"/>
        </w:rPr>
        <w:t xml:space="preserve"> конкурса поступили в ведущие вузы страны и получили стипен</w:t>
      </w:r>
      <w:r>
        <w:rPr>
          <w:rFonts w:cstheme="minorHAnsi"/>
        </w:rPr>
        <w:t>дии GS Group. Первые победители</w:t>
      </w:r>
      <w:r w:rsidRPr="007F7D74">
        <w:rPr>
          <w:rFonts w:cstheme="minorHAnsi"/>
        </w:rPr>
        <w:t xml:space="preserve"> </w:t>
      </w:r>
      <w:r>
        <w:rPr>
          <w:rFonts w:cstheme="minorHAnsi"/>
        </w:rPr>
        <w:t xml:space="preserve">уже работают </w:t>
      </w:r>
      <w:r w:rsidRPr="007F7D74">
        <w:rPr>
          <w:rFonts w:cstheme="minorHAnsi"/>
        </w:rPr>
        <w:t>в инновационных отраслях отечественной промышленности.</w:t>
      </w:r>
      <w:r>
        <w:rPr>
          <w:rFonts w:cstheme="minorHAnsi"/>
        </w:rPr>
        <w:t xml:space="preserve"> </w:t>
      </w:r>
      <w:r>
        <w:rPr>
          <w:iCs/>
        </w:rPr>
        <w:t xml:space="preserve">  </w:t>
      </w:r>
      <w:r w:rsidRPr="00B52CD9">
        <w:rPr>
          <w:iCs/>
        </w:rPr>
        <w:t xml:space="preserve"> </w:t>
      </w:r>
    </w:p>
    <w:p w:rsidR="00015EB2" w:rsidRPr="00876E6F" w:rsidRDefault="00015EB2" w:rsidP="00015EB2">
      <w:pPr>
        <w:tabs>
          <w:tab w:val="left" w:pos="4184"/>
        </w:tabs>
        <w:spacing w:after="120"/>
        <w:jc w:val="both"/>
        <w:rPr>
          <w:rStyle w:val="normalchar"/>
          <w:b/>
          <w:bCs/>
          <w:color w:val="000000" w:themeColor="text1"/>
        </w:rPr>
      </w:pPr>
      <w:r w:rsidRPr="00876E6F">
        <w:rPr>
          <w:rStyle w:val="normalchar"/>
          <w:b/>
          <w:bCs/>
          <w:color w:val="000000" w:themeColor="text1"/>
        </w:rPr>
        <w:t>Контакты: </w:t>
      </w:r>
    </w:p>
    <w:p w:rsidR="00015EB2" w:rsidRPr="00D8396F" w:rsidRDefault="00015EB2" w:rsidP="00015EB2">
      <w:pPr>
        <w:tabs>
          <w:tab w:val="left" w:pos="4184"/>
        </w:tabs>
        <w:spacing w:after="120"/>
        <w:jc w:val="both"/>
        <w:rPr>
          <w:rStyle w:val="normalchar"/>
          <w:bCs/>
          <w:color w:val="000000" w:themeColor="text1"/>
        </w:rPr>
      </w:pPr>
      <w:r w:rsidRPr="00D8396F">
        <w:rPr>
          <w:rStyle w:val="normalchar"/>
          <w:bCs/>
          <w:color w:val="000000" w:themeColor="text1"/>
        </w:rPr>
        <w:t xml:space="preserve">Вера Несмашная, </w:t>
      </w:r>
      <w:r w:rsidR="00E04900">
        <w:rPr>
          <w:rStyle w:val="normalchar"/>
          <w:bCs/>
          <w:color w:val="000000" w:themeColor="text1"/>
        </w:rPr>
        <w:t>м</w:t>
      </w:r>
      <w:r w:rsidR="00E04900" w:rsidRPr="00D8396F">
        <w:rPr>
          <w:rStyle w:val="normalchar"/>
          <w:bCs/>
          <w:color w:val="000000" w:themeColor="text1"/>
        </w:rPr>
        <w:t xml:space="preserve">енеджер </w:t>
      </w:r>
      <w:r w:rsidRPr="00D8396F">
        <w:rPr>
          <w:rStyle w:val="normalchar"/>
          <w:bCs/>
          <w:color w:val="000000" w:themeColor="text1"/>
        </w:rPr>
        <w:t xml:space="preserve">по связям с общественностью GS Group, </w:t>
      </w:r>
    </w:p>
    <w:p w:rsidR="00015EB2" w:rsidRDefault="00015EB2" w:rsidP="00015EB2">
      <w:pPr>
        <w:spacing w:after="120"/>
        <w:jc w:val="both"/>
        <w:rPr>
          <w:rStyle w:val="normalchar"/>
          <w:bCs/>
          <w:color w:val="000000" w:themeColor="text1"/>
        </w:rPr>
      </w:pPr>
      <w:r w:rsidRPr="00D8396F">
        <w:rPr>
          <w:rStyle w:val="normalchar"/>
          <w:bCs/>
          <w:color w:val="000000" w:themeColor="text1"/>
        </w:rPr>
        <w:t>v.nesmashnaya@spb.gs.ru</w:t>
      </w:r>
      <w:r>
        <w:rPr>
          <w:rStyle w:val="normalchar"/>
          <w:bCs/>
          <w:color w:val="000000" w:themeColor="text1"/>
        </w:rPr>
        <w:t xml:space="preserve">, </w:t>
      </w:r>
      <w:r w:rsidRPr="009942B9">
        <w:rPr>
          <w:rStyle w:val="normalchar"/>
          <w:bCs/>
          <w:color w:val="000000" w:themeColor="text1"/>
        </w:rPr>
        <w:t xml:space="preserve">тел.: +7 (812) 332-86-68 (доб. 0403), моб.: +7 (911) </w:t>
      </w:r>
      <w:r>
        <w:rPr>
          <w:rStyle w:val="normalchar"/>
          <w:bCs/>
          <w:color w:val="000000" w:themeColor="text1"/>
        </w:rPr>
        <w:t>187-84-24</w:t>
      </w:r>
    </w:p>
    <w:p w:rsidR="00C1062A" w:rsidRDefault="00C1062A" w:rsidP="00C1062A">
      <w:pPr>
        <w:spacing w:after="120"/>
        <w:jc w:val="both"/>
        <w:rPr>
          <w:b/>
        </w:rPr>
      </w:pPr>
      <w:r>
        <w:rPr>
          <w:b/>
        </w:rPr>
        <w:t xml:space="preserve">Справка </w:t>
      </w:r>
    </w:p>
    <w:p w:rsidR="00ED0731" w:rsidRPr="00DD668C" w:rsidRDefault="009700E6" w:rsidP="00ED0731">
      <w:pPr>
        <w:spacing w:after="120"/>
        <w:jc w:val="both"/>
        <w:rPr>
          <w:rFonts w:cstheme="minorHAnsi"/>
          <w:color w:val="000000"/>
          <w:szCs w:val="20"/>
        </w:rPr>
      </w:pPr>
      <w:hyperlink r:id="rId10" w:history="1">
        <w:r w:rsidR="00ED0731" w:rsidRPr="002A7D9B">
          <w:rPr>
            <w:rStyle w:val="a9"/>
            <w:b/>
            <w:color w:val="0070C0"/>
          </w:rPr>
          <w:t>GS Group</w:t>
        </w:r>
      </w:hyperlink>
      <w:r w:rsidR="00ED0731">
        <w:t xml:space="preserve"> — </w:t>
      </w:r>
      <w:r w:rsidR="00ED0731" w:rsidRPr="00DD668C">
        <w:rPr>
          <w:rFonts w:cstheme="minorHAnsi"/>
          <w:color w:val="000000"/>
          <w:szCs w:val="20"/>
        </w:rPr>
        <w:t>российский инвестиционно-промышленный холдинг, ключевой компетенцией которого является разработка и производство электроники. Также среди основных направлений деятельности — разработка и производство микроэлектроники, разработка и интеграция программных продуктов. Штаб-квартира холдинга расположена в Санкт-Петербурге. Флагманский инвестиционный проект — инновационный кластер «Технополис GS» в Калининградской области, где реализуется полный цикл производства электронных устройств (от корпусирования микросхем до упаковки готовой продукции) и предлагается широкий спектр направлений контрактного производства.</w:t>
      </w:r>
    </w:p>
    <w:p w:rsidR="00ED0731" w:rsidRPr="00DD668C" w:rsidRDefault="00ED0731" w:rsidP="00ED0731">
      <w:pPr>
        <w:spacing w:after="120"/>
        <w:jc w:val="both"/>
        <w:rPr>
          <w:rFonts w:cstheme="minorHAnsi"/>
          <w:color w:val="000000"/>
          <w:szCs w:val="20"/>
        </w:rPr>
      </w:pPr>
      <w:r w:rsidRPr="00DD668C">
        <w:rPr>
          <w:rFonts w:cstheme="minorHAnsi"/>
          <w:color w:val="000000"/>
          <w:szCs w:val="20"/>
        </w:rPr>
        <w:t>Диверсификация бизнеса на основе высоких технологий — один из базовых принципов развития холдинга GS Group. Помимо направлений в рамках ключевых компетенций, GS Group занимается утилизацией электроники, разработкой новых перспективных проектов в области светодиодов, систем накопления энергии, решений в сфере умного дома и умного города. Холдинг GS Group является технологическим партнером Триколора — российского мультиплатформенного оператора, который входит в пятерку крупнейших мировых операторов платного телевидения.</w:t>
      </w:r>
    </w:p>
    <w:p w:rsidR="00ED0731" w:rsidRPr="00183FCD" w:rsidRDefault="009700E6" w:rsidP="00ED0731">
      <w:pPr>
        <w:spacing w:after="120"/>
        <w:jc w:val="both"/>
        <w:rPr>
          <w:rFonts w:cstheme="minorHAnsi"/>
          <w:color w:val="000000"/>
          <w:szCs w:val="20"/>
        </w:rPr>
      </w:pPr>
      <w:hyperlink r:id="rId11" w:history="1">
        <w:r w:rsidR="00ED0731" w:rsidRPr="002A7D9B">
          <w:rPr>
            <w:rStyle w:val="a9"/>
            <w:b/>
            <w:color w:val="0070C0"/>
          </w:rPr>
          <w:t>«Технополис GS»</w:t>
        </w:r>
      </w:hyperlink>
      <w:r w:rsidR="00ED0731" w:rsidRPr="00F158D8">
        <w:t xml:space="preserve"> — </w:t>
      </w:r>
      <w:r w:rsidR="00ED0731" w:rsidRPr="00183FCD">
        <w:rPr>
          <w:rFonts w:cstheme="minorHAnsi"/>
          <w:color w:val="000000"/>
          <w:szCs w:val="20"/>
        </w:rPr>
        <w:t xml:space="preserve">первый в России частный инновационный кластер. Расположен в г. Гусеве Калининградской области. Площадь развиваемой территории — 230 га. Инвестор — холдинг GS Group. Интегрированные предприятия кластера позволяют обеспечивать полный комплекс услуг по разработке и производству электроники любой сложности — от корпусирования интегральных микросхем до упаковки готовой продукции. Это уникальные возможности для российского рынка контрактного производства. Мощности предприятий позволяют выпускать до 20 млн микросхем и до 17 млн радиоэлектронных изделий различного назначения в год. Налаженные логистические потоки и наработанные производственные компетенции делают «Технополис GS» оптимальным местом для локализации на территории РФ производства электронных устройств любой степени сложности. </w:t>
      </w:r>
    </w:p>
    <w:p w:rsidR="00ED0731" w:rsidRPr="00183FCD" w:rsidRDefault="00ED0731" w:rsidP="00ED0731">
      <w:pPr>
        <w:spacing w:after="120"/>
        <w:jc w:val="both"/>
        <w:rPr>
          <w:rFonts w:cstheme="minorHAnsi"/>
          <w:color w:val="000000"/>
          <w:szCs w:val="20"/>
        </w:rPr>
      </w:pPr>
      <w:r w:rsidRPr="00183FCD">
        <w:rPr>
          <w:rFonts w:cstheme="minorHAnsi"/>
          <w:color w:val="000000"/>
          <w:szCs w:val="20"/>
        </w:rPr>
        <w:t xml:space="preserve">Здесь расположено единственное в России и самое масштабное в Восточной Европе производство цифровых телевизионных приставок, где выпускаются ТВ-приставки под брендом General Satellite, </w:t>
      </w:r>
      <w:r w:rsidRPr="00183FCD">
        <w:rPr>
          <w:rFonts w:cstheme="minorHAnsi"/>
          <w:color w:val="000000"/>
          <w:szCs w:val="20"/>
        </w:rPr>
        <w:lastRenderedPageBreak/>
        <w:t xml:space="preserve">конструкторские решения, программное обеспечение и эксплуатационные характеристики которых отвечают самым высоким международным стандартам. </w:t>
      </w:r>
    </w:p>
    <w:p w:rsidR="00ED0731" w:rsidRPr="00183FCD" w:rsidRDefault="00ED0731" w:rsidP="00ED0731">
      <w:pPr>
        <w:spacing w:after="120"/>
        <w:jc w:val="both"/>
        <w:rPr>
          <w:rFonts w:cstheme="minorHAnsi"/>
          <w:color w:val="000000"/>
          <w:szCs w:val="20"/>
        </w:rPr>
      </w:pPr>
      <w:r w:rsidRPr="00183FCD">
        <w:rPr>
          <w:rFonts w:cstheme="minorHAnsi"/>
          <w:color w:val="000000"/>
          <w:szCs w:val="20"/>
        </w:rPr>
        <w:t xml:space="preserve">В кластере действуют R&amp;D- и образовательный центры, формируются современная жилая зона, умная инфраструктура и уникальная креативная среда. На базе кластера реализуется комплексная образовательная программа. </w:t>
      </w:r>
    </w:p>
    <w:p w:rsidR="00ED0731" w:rsidRPr="00183FCD" w:rsidRDefault="00ED0731" w:rsidP="00ED0731">
      <w:pPr>
        <w:spacing w:after="120"/>
        <w:jc w:val="both"/>
        <w:rPr>
          <w:rFonts w:cstheme="minorHAnsi"/>
          <w:color w:val="000000"/>
          <w:szCs w:val="20"/>
        </w:rPr>
      </w:pPr>
      <w:r w:rsidRPr="00183FCD">
        <w:rPr>
          <w:rFonts w:cstheme="minorHAnsi"/>
          <w:color w:val="000000"/>
          <w:szCs w:val="20"/>
        </w:rPr>
        <w:t xml:space="preserve">«Технополис GS» — успешный пример того, как городская среда малого города трансформируется под влиянием преобразований, проводимых российской частной корпорацией. В реализации проекта использованы лучшие практики развития территорий, разработанные совместно с ведущими центрами урбанистики. Опыт синергии «Технополиса GS» и города Гусева был признан экспертами Совета по малым территориям России модельным кейсом трансформации малых городов в центры роста отечественной инновационной экономики. </w:t>
      </w:r>
    </w:p>
    <w:p w:rsidR="00ED0731" w:rsidRPr="00876E6F" w:rsidRDefault="00ED0731" w:rsidP="00C1062A">
      <w:pPr>
        <w:spacing w:after="120"/>
        <w:jc w:val="both"/>
        <w:rPr>
          <w:b/>
        </w:rPr>
      </w:pPr>
    </w:p>
    <w:sectPr w:rsidR="00ED0731" w:rsidRPr="00876E6F" w:rsidSect="00F4621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567" w:bottom="1418" w:left="1134" w:header="567" w:footer="5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97" w:rsidRDefault="00704197">
      <w:pPr>
        <w:spacing w:after="0" w:line="240" w:lineRule="auto"/>
      </w:pPr>
      <w:r>
        <w:separator/>
      </w:r>
    </w:p>
  </w:endnote>
  <w:endnote w:type="continuationSeparator" w:id="0">
    <w:p w:rsidR="00704197" w:rsidRDefault="0070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30" w:type="dxa"/>
      <w:tblLook w:val="04A0" w:firstRow="1" w:lastRow="0" w:firstColumn="1" w:lastColumn="0" w:noHBand="0" w:noVBand="1"/>
    </w:tblPr>
    <w:tblGrid>
      <w:gridCol w:w="8330"/>
    </w:tblGrid>
    <w:tr w:rsidR="00F46217" w:rsidRPr="00524011" w:rsidTr="00F46217">
      <w:trPr>
        <w:trHeight w:val="223"/>
      </w:trPr>
      <w:tc>
        <w:tcPr>
          <w:tcW w:w="8330" w:type="dxa"/>
          <w:shd w:val="clear" w:color="auto" w:fill="auto"/>
          <w:vAlign w:val="center"/>
        </w:tcPr>
        <w:p w:rsidR="00F46217" w:rsidRPr="00F46217" w:rsidRDefault="009700E6" w:rsidP="00F46217">
          <w:pPr>
            <w:pStyle w:val="a7"/>
          </w:pPr>
        </w:p>
      </w:tc>
    </w:tr>
  </w:tbl>
  <w:p w:rsidR="00F46217" w:rsidRDefault="003F0278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66800"/>
          <wp:effectExtent l="0" t="0" r="317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17" w:rsidRDefault="003F0278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715992" y="9583947"/>
          <wp:positionH relativeFrom="page">
            <wp:align>center</wp:align>
          </wp:positionH>
          <wp:positionV relativeFrom="page">
            <wp:align>bottom</wp:align>
          </wp:positionV>
          <wp:extent cx="7560000" cy="766800"/>
          <wp:effectExtent l="0" t="0" r="317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97" w:rsidRDefault="00704197">
      <w:pPr>
        <w:spacing w:after="0" w:line="240" w:lineRule="auto"/>
      </w:pPr>
      <w:r>
        <w:separator/>
      </w:r>
    </w:p>
  </w:footnote>
  <w:footnote w:type="continuationSeparator" w:id="0">
    <w:p w:rsidR="00704197" w:rsidRDefault="0070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79" w:type="dxa"/>
      <w:tblInd w:w="2235" w:type="dxa"/>
      <w:tblLook w:val="04A0" w:firstRow="1" w:lastRow="0" w:firstColumn="1" w:lastColumn="0" w:noHBand="0" w:noVBand="1"/>
    </w:tblPr>
    <w:tblGrid>
      <w:gridCol w:w="6662"/>
      <w:gridCol w:w="1417"/>
    </w:tblGrid>
    <w:tr w:rsidR="00F46217" w:rsidRPr="00524011" w:rsidTr="00F46217">
      <w:trPr>
        <w:trHeight w:val="223"/>
      </w:trPr>
      <w:tc>
        <w:tcPr>
          <w:tcW w:w="6662" w:type="dxa"/>
          <w:shd w:val="clear" w:color="auto" w:fill="auto"/>
          <w:vAlign w:val="center"/>
        </w:tcPr>
        <w:p w:rsidR="00F46217" w:rsidRPr="00615A9E" w:rsidRDefault="009700E6" w:rsidP="00F46217">
          <w:pPr>
            <w:pStyle w:val="a7"/>
            <w:rPr>
              <w:lang w:val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F46217" w:rsidRPr="00F46217" w:rsidRDefault="003F0278" w:rsidP="00F46217">
          <w:pPr>
            <w:pStyle w:val="a3"/>
            <w:jc w:val="right"/>
            <w:rPr>
              <w:sz w:val="18"/>
              <w:szCs w:val="18"/>
            </w:rPr>
          </w:pPr>
          <w:r w:rsidRPr="00F46217">
            <w:rPr>
              <w:sz w:val="18"/>
              <w:szCs w:val="18"/>
            </w:rPr>
            <w:t xml:space="preserve">Лист </w:t>
          </w:r>
          <w:r w:rsidR="00C1490F" w:rsidRPr="00F46217">
            <w:rPr>
              <w:sz w:val="18"/>
              <w:szCs w:val="18"/>
            </w:rPr>
            <w:fldChar w:fldCharType="begin"/>
          </w:r>
          <w:r w:rsidRPr="00F46217">
            <w:rPr>
              <w:sz w:val="18"/>
              <w:szCs w:val="18"/>
            </w:rPr>
            <w:instrText>PAGE</w:instrText>
          </w:r>
          <w:r w:rsidR="00C1490F" w:rsidRPr="00F46217">
            <w:rPr>
              <w:sz w:val="18"/>
              <w:szCs w:val="18"/>
            </w:rPr>
            <w:fldChar w:fldCharType="separate"/>
          </w:r>
          <w:r w:rsidR="009700E6">
            <w:rPr>
              <w:noProof/>
              <w:sz w:val="18"/>
              <w:szCs w:val="18"/>
            </w:rPr>
            <w:t>2</w:t>
          </w:r>
          <w:r w:rsidR="00C1490F" w:rsidRPr="00F46217">
            <w:rPr>
              <w:sz w:val="18"/>
              <w:szCs w:val="18"/>
            </w:rPr>
            <w:fldChar w:fldCharType="end"/>
          </w:r>
          <w:r w:rsidRPr="00F46217">
            <w:rPr>
              <w:sz w:val="18"/>
              <w:szCs w:val="18"/>
            </w:rPr>
            <w:t xml:space="preserve"> / из </w:t>
          </w:r>
          <w:r w:rsidR="00C1490F" w:rsidRPr="00F46217">
            <w:rPr>
              <w:sz w:val="18"/>
              <w:szCs w:val="18"/>
            </w:rPr>
            <w:fldChar w:fldCharType="begin"/>
          </w:r>
          <w:r w:rsidRPr="00F46217">
            <w:rPr>
              <w:sz w:val="18"/>
              <w:szCs w:val="18"/>
            </w:rPr>
            <w:instrText>NUMPAGES</w:instrText>
          </w:r>
          <w:r w:rsidR="00C1490F" w:rsidRPr="00F46217">
            <w:rPr>
              <w:sz w:val="18"/>
              <w:szCs w:val="18"/>
            </w:rPr>
            <w:fldChar w:fldCharType="separate"/>
          </w:r>
          <w:r w:rsidR="009700E6">
            <w:rPr>
              <w:noProof/>
              <w:sz w:val="18"/>
              <w:szCs w:val="18"/>
            </w:rPr>
            <w:t>3</w:t>
          </w:r>
          <w:r w:rsidR="00C1490F" w:rsidRPr="00F46217">
            <w:rPr>
              <w:sz w:val="18"/>
              <w:szCs w:val="18"/>
            </w:rPr>
            <w:fldChar w:fldCharType="end"/>
          </w:r>
        </w:p>
      </w:tc>
    </w:tr>
    <w:tr w:rsidR="00F46217" w:rsidRPr="00524011" w:rsidTr="00F46217">
      <w:trPr>
        <w:trHeight w:val="223"/>
      </w:trPr>
      <w:tc>
        <w:tcPr>
          <w:tcW w:w="6662" w:type="dxa"/>
          <w:shd w:val="clear" w:color="auto" w:fill="auto"/>
          <w:vAlign w:val="center"/>
        </w:tcPr>
        <w:p w:rsidR="00F46217" w:rsidRPr="00FE1F43" w:rsidRDefault="009700E6" w:rsidP="00F46217">
          <w:pPr>
            <w:pStyle w:val="a7"/>
          </w:pPr>
        </w:p>
      </w:tc>
      <w:tc>
        <w:tcPr>
          <w:tcW w:w="1417" w:type="dxa"/>
          <w:shd w:val="clear" w:color="auto" w:fill="auto"/>
          <w:vAlign w:val="center"/>
        </w:tcPr>
        <w:p w:rsidR="00F46217" w:rsidRPr="00FE1F43" w:rsidRDefault="009700E6" w:rsidP="00F46217">
          <w:pPr>
            <w:pStyle w:val="a8"/>
          </w:pPr>
        </w:p>
      </w:tc>
    </w:tr>
  </w:tbl>
  <w:p w:rsidR="00F46217" w:rsidRDefault="003F027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715992" y="621102"/>
          <wp:positionH relativeFrom="page">
            <wp:align>left</wp:align>
          </wp:positionH>
          <wp:positionV relativeFrom="page">
            <wp:align>top</wp:align>
          </wp:positionV>
          <wp:extent cx="2091600" cy="705600"/>
          <wp:effectExtent l="0" t="0" r="444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7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17" w:rsidRDefault="003F0278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-2875</wp:posOffset>
          </wp:positionH>
          <wp:positionV relativeFrom="page">
            <wp:posOffset>-2875</wp:posOffset>
          </wp:positionV>
          <wp:extent cx="2091600" cy="705600"/>
          <wp:effectExtent l="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70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4AB4"/>
    <w:multiLevelType w:val="hybridMultilevel"/>
    <w:tmpl w:val="5F90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03D38"/>
    <w:multiLevelType w:val="hybridMultilevel"/>
    <w:tmpl w:val="C116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01DD"/>
    <w:multiLevelType w:val="hybridMultilevel"/>
    <w:tmpl w:val="3AD2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BFB"/>
    <w:rsid w:val="000032AE"/>
    <w:rsid w:val="00011AB4"/>
    <w:rsid w:val="00012F30"/>
    <w:rsid w:val="00015EB2"/>
    <w:rsid w:val="00017CAD"/>
    <w:rsid w:val="000330D7"/>
    <w:rsid w:val="00036D3F"/>
    <w:rsid w:val="00040AC7"/>
    <w:rsid w:val="000429BE"/>
    <w:rsid w:val="00044281"/>
    <w:rsid w:val="00045DE5"/>
    <w:rsid w:val="00056DBF"/>
    <w:rsid w:val="00057764"/>
    <w:rsid w:val="00063AD7"/>
    <w:rsid w:val="00087367"/>
    <w:rsid w:val="000A2D65"/>
    <w:rsid w:val="000A5665"/>
    <w:rsid w:val="000A783A"/>
    <w:rsid w:val="000B516A"/>
    <w:rsid w:val="000C6C2B"/>
    <w:rsid w:val="000D4046"/>
    <w:rsid w:val="000E38A5"/>
    <w:rsid w:val="000E46F5"/>
    <w:rsid w:val="000E685A"/>
    <w:rsid w:val="000E7D41"/>
    <w:rsid w:val="000F4932"/>
    <w:rsid w:val="000F68E5"/>
    <w:rsid w:val="001073C1"/>
    <w:rsid w:val="00113F74"/>
    <w:rsid w:val="00115B9F"/>
    <w:rsid w:val="00151732"/>
    <w:rsid w:val="0016056C"/>
    <w:rsid w:val="001627D2"/>
    <w:rsid w:val="00177C1E"/>
    <w:rsid w:val="001C2DD6"/>
    <w:rsid w:val="001D4F78"/>
    <w:rsid w:val="001F23A6"/>
    <w:rsid w:val="001F5823"/>
    <w:rsid w:val="00200AC6"/>
    <w:rsid w:val="002046C8"/>
    <w:rsid w:val="00205199"/>
    <w:rsid w:val="0021728E"/>
    <w:rsid w:val="00220AE3"/>
    <w:rsid w:val="00270B48"/>
    <w:rsid w:val="0027347C"/>
    <w:rsid w:val="00286D6C"/>
    <w:rsid w:val="002B1AEA"/>
    <w:rsid w:val="002C1209"/>
    <w:rsid w:val="002C27DF"/>
    <w:rsid w:val="002C2B81"/>
    <w:rsid w:val="002C751C"/>
    <w:rsid w:val="002F11B0"/>
    <w:rsid w:val="002F788B"/>
    <w:rsid w:val="003245ED"/>
    <w:rsid w:val="00344B4A"/>
    <w:rsid w:val="00345E94"/>
    <w:rsid w:val="00353E22"/>
    <w:rsid w:val="003632C9"/>
    <w:rsid w:val="00377DD2"/>
    <w:rsid w:val="00383D3A"/>
    <w:rsid w:val="0039365E"/>
    <w:rsid w:val="00396A68"/>
    <w:rsid w:val="003A3562"/>
    <w:rsid w:val="003B2E40"/>
    <w:rsid w:val="003C45F3"/>
    <w:rsid w:val="003D1E7C"/>
    <w:rsid w:val="003D58E7"/>
    <w:rsid w:val="003E26FC"/>
    <w:rsid w:val="003E582B"/>
    <w:rsid w:val="003F0278"/>
    <w:rsid w:val="003F6E14"/>
    <w:rsid w:val="00405246"/>
    <w:rsid w:val="00413836"/>
    <w:rsid w:val="00437FDF"/>
    <w:rsid w:val="00460881"/>
    <w:rsid w:val="00463FBD"/>
    <w:rsid w:val="00482BFB"/>
    <w:rsid w:val="00485C0C"/>
    <w:rsid w:val="00491A9B"/>
    <w:rsid w:val="004A1681"/>
    <w:rsid w:val="004A4047"/>
    <w:rsid w:val="004A4D38"/>
    <w:rsid w:val="004A631B"/>
    <w:rsid w:val="004B545D"/>
    <w:rsid w:val="004C00DC"/>
    <w:rsid w:val="004D4567"/>
    <w:rsid w:val="004D6E9A"/>
    <w:rsid w:val="00502C2B"/>
    <w:rsid w:val="00517BC9"/>
    <w:rsid w:val="005239D6"/>
    <w:rsid w:val="00524DE1"/>
    <w:rsid w:val="005272B2"/>
    <w:rsid w:val="0053049A"/>
    <w:rsid w:val="0055618E"/>
    <w:rsid w:val="00565813"/>
    <w:rsid w:val="00576A85"/>
    <w:rsid w:val="0058621C"/>
    <w:rsid w:val="005A3990"/>
    <w:rsid w:val="005B3686"/>
    <w:rsid w:val="005B7C52"/>
    <w:rsid w:val="005C22C4"/>
    <w:rsid w:val="005D3C67"/>
    <w:rsid w:val="005D6B42"/>
    <w:rsid w:val="005E5AF6"/>
    <w:rsid w:val="0060785C"/>
    <w:rsid w:val="00614EE2"/>
    <w:rsid w:val="00620538"/>
    <w:rsid w:val="00623DC6"/>
    <w:rsid w:val="0062693F"/>
    <w:rsid w:val="00627A59"/>
    <w:rsid w:val="00631333"/>
    <w:rsid w:val="0063635C"/>
    <w:rsid w:val="0063639E"/>
    <w:rsid w:val="0066003D"/>
    <w:rsid w:val="0067207D"/>
    <w:rsid w:val="006823DC"/>
    <w:rsid w:val="006877A0"/>
    <w:rsid w:val="00690909"/>
    <w:rsid w:val="00693963"/>
    <w:rsid w:val="006A0831"/>
    <w:rsid w:val="006A28CF"/>
    <w:rsid w:val="006A5EE1"/>
    <w:rsid w:val="006B32BC"/>
    <w:rsid w:val="006C14A9"/>
    <w:rsid w:val="006C1E4B"/>
    <w:rsid w:val="006D15AB"/>
    <w:rsid w:val="006D214C"/>
    <w:rsid w:val="006D7EEC"/>
    <w:rsid w:val="006F5919"/>
    <w:rsid w:val="00704197"/>
    <w:rsid w:val="00704EFF"/>
    <w:rsid w:val="007058F3"/>
    <w:rsid w:val="00714AD0"/>
    <w:rsid w:val="00716E05"/>
    <w:rsid w:val="0072759C"/>
    <w:rsid w:val="00733D49"/>
    <w:rsid w:val="00747D30"/>
    <w:rsid w:val="00752ECC"/>
    <w:rsid w:val="00757FBB"/>
    <w:rsid w:val="007660E1"/>
    <w:rsid w:val="00773508"/>
    <w:rsid w:val="00780BCA"/>
    <w:rsid w:val="00782673"/>
    <w:rsid w:val="0078512A"/>
    <w:rsid w:val="007A0CEE"/>
    <w:rsid w:val="007A2F13"/>
    <w:rsid w:val="007A5558"/>
    <w:rsid w:val="007B273C"/>
    <w:rsid w:val="007B7ED3"/>
    <w:rsid w:val="007C7E2E"/>
    <w:rsid w:val="007D310D"/>
    <w:rsid w:val="007E4E1E"/>
    <w:rsid w:val="007F1ADE"/>
    <w:rsid w:val="008064BF"/>
    <w:rsid w:val="00807CDB"/>
    <w:rsid w:val="00813CE1"/>
    <w:rsid w:val="008415BE"/>
    <w:rsid w:val="00843EE2"/>
    <w:rsid w:val="00844794"/>
    <w:rsid w:val="00856026"/>
    <w:rsid w:val="0087066C"/>
    <w:rsid w:val="00876E6F"/>
    <w:rsid w:val="00880CB7"/>
    <w:rsid w:val="008874AF"/>
    <w:rsid w:val="008A3A0F"/>
    <w:rsid w:val="008B0675"/>
    <w:rsid w:val="008B48B2"/>
    <w:rsid w:val="008B5810"/>
    <w:rsid w:val="009010EC"/>
    <w:rsid w:val="00916C9C"/>
    <w:rsid w:val="009357D0"/>
    <w:rsid w:val="009700E6"/>
    <w:rsid w:val="009908D7"/>
    <w:rsid w:val="009A2669"/>
    <w:rsid w:val="009B50CF"/>
    <w:rsid w:val="009C4DB8"/>
    <w:rsid w:val="009C694C"/>
    <w:rsid w:val="009D086A"/>
    <w:rsid w:val="009D6FE7"/>
    <w:rsid w:val="009F2448"/>
    <w:rsid w:val="00A0084F"/>
    <w:rsid w:val="00A039A1"/>
    <w:rsid w:val="00A10185"/>
    <w:rsid w:val="00A10BAF"/>
    <w:rsid w:val="00A14877"/>
    <w:rsid w:val="00A1705A"/>
    <w:rsid w:val="00A24E64"/>
    <w:rsid w:val="00A3369A"/>
    <w:rsid w:val="00A551BD"/>
    <w:rsid w:val="00A65317"/>
    <w:rsid w:val="00A67508"/>
    <w:rsid w:val="00A75216"/>
    <w:rsid w:val="00A83B49"/>
    <w:rsid w:val="00A93F8D"/>
    <w:rsid w:val="00A97575"/>
    <w:rsid w:val="00AC1C86"/>
    <w:rsid w:val="00AC327E"/>
    <w:rsid w:val="00AC5765"/>
    <w:rsid w:val="00AC6E49"/>
    <w:rsid w:val="00AD4DDF"/>
    <w:rsid w:val="00AD6D56"/>
    <w:rsid w:val="00AE2B6E"/>
    <w:rsid w:val="00AE2B7C"/>
    <w:rsid w:val="00AE54FF"/>
    <w:rsid w:val="00AE5B77"/>
    <w:rsid w:val="00B02D2B"/>
    <w:rsid w:val="00B10249"/>
    <w:rsid w:val="00B1299A"/>
    <w:rsid w:val="00B12DCE"/>
    <w:rsid w:val="00B14B45"/>
    <w:rsid w:val="00B174B5"/>
    <w:rsid w:val="00B21F35"/>
    <w:rsid w:val="00B2409D"/>
    <w:rsid w:val="00B33B54"/>
    <w:rsid w:val="00B358C2"/>
    <w:rsid w:val="00B4730B"/>
    <w:rsid w:val="00B64B72"/>
    <w:rsid w:val="00B77973"/>
    <w:rsid w:val="00B855C2"/>
    <w:rsid w:val="00B976B7"/>
    <w:rsid w:val="00BC3D98"/>
    <w:rsid w:val="00BC724C"/>
    <w:rsid w:val="00BD0AEE"/>
    <w:rsid w:val="00BD4C92"/>
    <w:rsid w:val="00BE1CE2"/>
    <w:rsid w:val="00BE601C"/>
    <w:rsid w:val="00BF1884"/>
    <w:rsid w:val="00C0217F"/>
    <w:rsid w:val="00C0730B"/>
    <w:rsid w:val="00C1062A"/>
    <w:rsid w:val="00C148F2"/>
    <w:rsid w:val="00C1490F"/>
    <w:rsid w:val="00C21787"/>
    <w:rsid w:val="00C23CE8"/>
    <w:rsid w:val="00C3178A"/>
    <w:rsid w:val="00C522EA"/>
    <w:rsid w:val="00C53E0A"/>
    <w:rsid w:val="00C55E29"/>
    <w:rsid w:val="00C6104E"/>
    <w:rsid w:val="00C730CD"/>
    <w:rsid w:val="00C85CC4"/>
    <w:rsid w:val="00C867F5"/>
    <w:rsid w:val="00CB0750"/>
    <w:rsid w:val="00CB5ED4"/>
    <w:rsid w:val="00CB7EC4"/>
    <w:rsid w:val="00CC0D3D"/>
    <w:rsid w:val="00CC7619"/>
    <w:rsid w:val="00CD2F61"/>
    <w:rsid w:val="00CF1B0E"/>
    <w:rsid w:val="00D00106"/>
    <w:rsid w:val="00D13E6A"/>
    <w:rsid w:val="00D21042"/>
    <w:rsid w:val="00D27D7A"/>
    <w:rsid w:val="00D346E3"/>
    <w:rsid w:val="00D35920"/>
    <w:rsid w:val="00D42F9C"/>
    <w:rsid w:val="00D4632C"/>
    <w:rsid w:val="00D81343"/>
    <w:rsid w:val="00D8270B"/>
    <w:rsid w:val="00D84F38"/>
    <w:rsid w:val="00DA77DD"/>
    <w:rsid w:val="00DB03B4"/>
    <w:rsid w:val="00DB4740"/>
    <w:rsid w:val="00DB7A27"/>
    <w:rsid w:val="00DB7C72"/>
    <w:rsid w:val="00DE3E29"/>
    <w:rsid w:val="00DE7E34"/>
    <w:rsid w:val="00DF1CB0"/>
    <w:rsid w:val="00E04900"/>
    <w:rsid w:val="00E05834"/>
    <w:rsid w:val="00E06F45"/>
    <w:rsid w:val="00E11277"/>
    <w:rsid w:val="00E20393"/>
    <w:rsid w:val="00E24BD4"/>
    <w:rsid w:val="00E24F9C"/>
    <w:rsid w:val="00E41236"/>
    <w:rsid w:val="00E506E8"/>
    <w:rsid w:val="00E56804"/>
    <w:rsid w:val="00E622F2"/>
    <w:rsid w:val="00E64B62"/>
    <w:rsid w:val="00E66F73"/>
    <w:rsid w:val="00E67E91"/>
    <w:rsid w:val="00E708AC"/>
    <w:rsid w:val="00E7337E"/>
    <w:rsid w:val="00E774BB"/>
    <w:rsid w:val="00E77678"/>
    <w:rsid w:val="00EA035E"/>
    <w:rsid w:val="00EA1760"/>
    <w:rsid w:val="00EB4EEA"/>
    <w:rsid w:val="00EC153F"/>
    <w:rsid w:val="00EC2F7D"/>
    <w:rsid w:val="00EC68AD"/>
    <w:rsid w:val="00ED0731"/>
    <w:rsid w:val="00ED2729"/>
    <w:rsid w:val="00ED5B9A"/>
    <w:rsid w:val="00EE05F4"/>
    <w:rsid w:val="00EF638D"/>
    <w:rsid w:val="00F04B1F"/>
    <w:rsid w:val="00F1041A"/>
    <w:rsid w:val="00F20F6F"/>
    <w:rsid w:val="00F34782"/>
    <w:rsid w:val="00F37F6E"/>
    <w:rsid w:val="00F40393"/>
    <w:rsid w:val="00F46C1E"/>
    <w:rsid w:val="00F50A65"/>
    <w:rsid w:val="00F518CA"/>
    <w:rsid w:val="00F7476D"/>
    <w:rsid w:val="00F81BCE"/>
    <w:rsid w:val="00FA07ED"/>
    <w:rsid w:val="00F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C8642-ED26-413F-B8C9-A70CAA90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B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B5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BFB"/>
  </w:style>
  <w:style w:type="paragraph" w:styleId="a5">
    <w:name w:val="footer"/>
    <w:basedOn w:val="a"/>
    <w:link w:val="a6"/>
    <w:uiPriority w:val="99"/>
    <w:unhideWhenUsed/>
    <w:rsid w:val="00482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BFB"/>
  </w:style>
  <w:style w:type="paragraph" w:customStyle="1" w:styleId="a7">
    <w:name w:val="Нижний колонтиутл (слева)"/>
    <w:basedOn w:val="a"/>
    <w:qFormat/>
    <w:rsid w:val="00482BFB"/>
    <w:pPr>
      <w:spacing w:after="0" w:line="240" w:lineRule="auto"/>
      <w:contextualSpacing/>
    </w:pPr>
    <w:rPr>
      <w:rFonts w:ascii="Calibri" w:eastAsia="Calibri" w:hAnsi="Calibri" w:cs="Times New Roman"/>
      <w:sz w:val="20"/>
      <w:lang w:eastAsia="ru-RU"/>
    </w:rPr>
  </w:style>
  <w:style w:type="paragraph" w:customStyle="1" w:styleId="a8">
    <w:name w:val="Нижний колонтитул (справа)"/>
    <w:basedOn w:val="a"/>
    <w:qFormat/>
    <w:rsid w:val="00482BFB"/>
    <w:pPr>
      <w:spacing w:after="0" w:line="240" w:lineRule="auto"/>
      <w:contextualSpacing/>
      <w:jc w:val="right"/>
    </w:pPr>
    <w:rPr>
      <w:rFonts w:ascii="Calibri" w:eastAsia="Calibri" w:hAnsi="Calibri" w:cs="Times New Roman"/>
      <w:sz w:val="20"/>
      <w:lang w:eastAsia="ru-RU"/>
    </w:rPr>
  </w:style>
  <w:style w:type="character" w:styleId="a9">
    <w:name w:val="Hyperlink"/>
    <w:basedOn w:val="a0"/>
    <w:uiPriority w:val="99"/>
    <w:unhideWhenUsed/>
    <w:rsid w:val="00482BFB"/>
    <w:rPr>
      <w:color w:val="0563C1" w:themeColor="hyperlink"/>
      <w:u w:val="single"/>
    </w:rPr>
  </w:style>
  <w:style w:type="character" w:customStyle="1" w:styleId="normalchar">
    <w:name w:val="normal__char"/>
    <w:basedOn w:val="a0"/>
    <w:rsid w:val="00482BFB"/>
  </w:style>
  <w:style w:type="table" w:styleId="aa">
    <w:name w:val="Table Grid"/>
    <w:basedOn w:val="a1"/>
    <w:uiPriority w:val="39"/>
    <w:rsid w:val="00DB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3C6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C75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75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75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75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751C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2C751C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E6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E66F73"/>
    <w:rPr>
      <w:i/>
      <w:iCs/>
    </w:rPr>
  </w:style>
  <w:style w:type="character" w:styleId="af5">
    <w:name w:val="Strong"/>
    <w:basedOn w:val="a0"/>
    <w:uiPriority w:val="22"/>
    <w:qFormat/>
    <w:rsid w:val="00E66F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B5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6">
    <w:name w:val="List Paragraph"/>
    <w:basedOn w:val="a"/>
    <w:uiPriority w:val="34"/>
    <w:qFormat/>
    <w:rsid w:val="007D310D"/>
    <w:pPr>
      <w:spacing w:after="160" w:line="256" w:lineRule="auto"/>
      <w:ind w:left="720"/>
      <w:contextualSpacing/>
    </w:pPr>
  </w:style>
  <w:style w:type="paragraph" w:customStyle="1" w:styleId="xmsonormal">
    <w:name w:val="x_msonormal"/>
    <w:basedOn w:val="a"/>
    <w:rsid w:val="0087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chnopolis.g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s-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math.gs-group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C078-9132-4D04-AAD3-CAC267838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45000-5273-444A-9BC8-F46C1511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Бялковская Вероника Игоревна</dc:creator>
  <cp:lastModifiedBy>Несмашная Вера Ивановна</cp:lastModifiedBy>
  <cp:revision>2</cp:revision>
  <cp:lastPrinted>2019-12-19T10:57:00Z</cp:lastPrinted>
  <dcterms:created xsi:type="dcterms:W3CDTF">2021-09-01T14:13:00Z</dcterms:created>
  <dcterms:modified xsi:type="dcterms:W3CDTF">2021-09-01T14:13:00Z</dcterms:modified>
</cp:coreProperties>
</file>